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9231DF" w:rsidP="00B434C1">
      <w:pPr>
        <w:spacing w:after="360"/>
        <w:ind w:left="-567"/>
        <w:rPr>
          <w:rFonts w:ascii="Arial" w:hAnsi="Arial"/>
          <w:color w:val="C30045"/>
          <w:sz w:val="52"/>
        </w:rPr>
      </w:pPr>
      <w:r>
        <w:rPr>
          <w:rFonts w:ascii="Arial" w:hAnsi="Arial"/>
          <w:color w:val="C30045"/>
          <w:sz w:val="52"/>
        </w:rPr>
        <w:t>History</w:t>
      </w:r>
    </w:p>
    <w:p w:rsidR="00CE6113" w:rsidRPr="007E7998" w:rsidRDefault="009231DF" w:rsidP="00B434C1">
      <w:pPr>
        <w:ind w:left="-567"/>
        <w:rPr>
          <w:rFonts w:ascii="Arial" w:hAnsi="Arial"/>
          <w:color w:val="C30045"/>
          <w:sz w:val="52"/>
        </w:rPr>
      </w:pPr>
      <w:r>
        <w:rPr>
          <w:rFonts w:ascii="Arial" w:hAnsi="Arial"/>
          <w:color w:val="C30045"/>
          <w:sz w:val="52"/>
        </w:rPr>
        <w:t>9389 Component 3: Interpretations question (source-based)</w:t>
      </w:r>
    </w:p>
    <w:p w:rsidR="009231DF" w:rsidRDefault="009231DF" w:rsidP="00B434C1">
      <w:pPr>
        <w:ind w:left="-567"/>
        <w:rPr>
          <w:rFonts w:ascii="Arial" w:hAnsi="Arial"/>
          <w:color w:val="C30045"/>
          <w:sz w:val="40"/>
        </w:rPr>
      </w:pPr>
      <w:r>
        <w:rPr>
          <w:rFonts w:ascii="Arial" w:hAnsi="Arial"/>
          <w:color w:val="C30045"/>
          <w:sz w:val="40"/>
        </w:rPr>
        <w:t>The Holocaust</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9231DF">
        <w:rPr>
          <w:rFonts w:ascii="Arial" w:hAnsi="Arial"/>
          <w:color w:val="C30045"/>
          <w:sz w:val="40"/>
        </w:rPr>
        <w:t>16</w:t>
      </w:r>
    </w:p>
    <w:p w:rsidR="009C229B" w:rsidRPr="007E7998" w:rsidRDefault="009C229B" w:rsidP="007E7998">
      <w:pPr>
        <w:pStyle w:val="Heading1"/>
      </w:pPr>
      <w:bookmarkStart w:id="0" w:name="_Contents"/>
      <w:bookmarkStart w:id="1" w:name="_Toc443639044"/>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9231DF" w:rsidRPr="009231DF" w:rsidRDefault="009C229B">
      <w:pPr>
        <w:pStyle w:val="TOC1"/>
        <w:rPr>
          <w:rFonts w:ascii="Arial" w:eastAsiaTheme="minorEastAsia" w:hAnsi="Arial" w:cs="Arial"/>
          <w:noProof/>
          <w:sz w:val="20"/>
          <w:szCs w:val="20"/>
          <w:lang w:eastAsia="en-GB"/>
        </w:rPr>
      </w:pPr>
      <w:r w:rsidRPr="009231DF">
        <w:rPr>
          <w:rFonts w:ascii="Arial" w:hAnsi="Arial" w:cs="Arial"/>
          <w:sz w:val="20"/>
          <w:szCs w:val="20"/>
        </w:rPr>
        <w:fldChar w:fldCharType="begin"/>
      </w:r>
      <w:r w:rsidRPr="009231DF">
        <w:rPr>
          <w:rFonts w:ascii="Arial" w:hAnsi="Arial" w:cs="Arial"/>
          <w:sz w:val="20"/>
          <w:szCs w:val="20"/>
        </w:rPr>
        <w:instrText xml:space="preserve"> TOC \o "1-1" \h \z \u </w:instrText>
      </w:r>
      <w:r w:rsidRPr="009231DF">
        <w:rPr>
          <w:rFonts w:ascii="Arial" w:hAnsi="Arial" w:cs="Arial"/>
          <w:sz w:val="20"/>
          <w:szCs w:val="20"/>
        </w:rPr>
        <w:fldChar w:fldCharType="separate"/>
      </w:r>
      <w:hyperlink w:anchor="_Toc443639045" w:history="1">
        <w:r w:rsidR="009231DF" w:rsidRPr="009231DF">
          <w:rPr>
            <w:rStyle w:val="Hyperlink"/>
            <w:rFonts w:ascii="Arial" w:hAnsi="Arial" w:cs="Arial"/>
            <w:noProof/>
            <w:sz w:val="20"/>
            <w:szCs w:val="20"/>
          </w:rPr>
          <w:t>Introduction</w:t>
        </w:r>
        <w:r w:rsidR="009231DF" w:rsidRPr="009231DF">
          <w:rPr>
            <w:rFonts w:ascii="Arial" w:hAnsi="Arial" w:cs="Arial"/>
            <w:noProof/>
            <w:webHidden/>
            <w:sz w:val="20"/>
            <w:szCs w:val="20"/>
          </w:rPr>
          <w:tab/>
        </w:r>
        <w:r w:rsidR="009231DF" w:rsidRPr="009231DF">
          <w:rPr>
            <w:rFonts w:ascii="Arial" w:hAnsi="Arial" w:cs="Arial"/>
            <w:noProof/>
            <w:webHidden/>
            <w:sz w:val="20"/>
            <w:szCs w:val="20"/>
          </w:rPr>
          <w:fldChar w:fldCharType="begin"/>
        </w:r>
        <w:r w:rsidR="009231DF" w:rsidRPr="009231DF">
          <w:rPr>
            <w:rFonts w:ascii="Arial" w:hAnsi="Arial" w:cs="Arial"/>
            <w:noProof/>
            <w:webHidden/>
            <w:sz w:val="20"/>
            <w:szCs w:val="20"/>
          </w:rPr>
          <w:instrText xml:space="preserve"> PAGEREF _Toc443639045 \h </w:instrText>
        </w:r>
        <w:r w:rsidR="009231DF" w:rsidRPr="009231DF">
          <w:rPr>
            <w:rFonts w:ascii="Arial" w:hAnsi="Arial" w:cs="Arial"/>
            <w:noProof/>
            <w:webHidden/>
            <w:sz w:val="20"/>
            <w:szCs w:val="20"/>
          </w:rPr>
        </w:r>
        <w:r w:rsidR="009231DF" w:rsidRPr="009231DF">
          <w:rPr>
            <w:rFonts w:ascii="Arial" w:hAnsi="Arial" w:cs="Arial"/>
            <w:noProof/>
            <w:webHidden/>
            <w:sz w:val="20"/>
            <w:szCs w:val="20"/>
          </w:rPr>
          <w:fldChar w:fldCharType="separate"/>
        </w:r>
        <w:r w:rsidR="00E2140F">
          <w:rPr>
            <w:rFonts w:ascii="Arial" w:hAnsi="Arial" w:cs="Arial"/>
            <w:noProof/>
            <w:webHidden/>
            <w:sz w:val="20"/>
            <w:szCs w:val="20"/>
          </w:rPr>
          <w:t>3</w:t>
        </w:r>
        <w:r w:rsidR="009231DF" w:rsidRPr="009231DF">
          <w:rPr>
            <w:rFonts w:ascii="Arial" w:hAnsi="Arial" w:cs="Arial"/>
            <w:noProof/>
            <w:webHidden/>
            <w:sz w:val="20"/>
            <w:szCs w:val="20"/>
          </w:rPr>
          <w:fldChar w:fldCharType="end"/>
        </w:r>
      </w:hyperlink>
    </w:p>
    <w:p w:rsidR="009231DF" w:rsidRPr="009231DF" w:rsidRDefault="00E2140F">
      <w:pPr>
        <w:pStyle w:val="TOC1"/>
        <w:rPr>
          <w:rFonts w:ascii="Arial" w:eastAsiaTheme="minorEastAsia" w:hAnsi="Arial" w:cs="Arial"/>
          <w:noProof/>
          <w:sz w:val="20"/>
          <w:szCs w:val="20"/>
          <w:lang w:eastAsia="en-GB"/>
        </w:rPr>
      </w:pPr>
      <w:r>
        <w:rPr>
          <w:noProof/>
        </w:rPr>
        <w:fldChar w:fldCharType="begin"/>
      </w:r>
      <w:r>
        <w:rPr>
          <w:noProof/>
        </w:rPr>
        <w:instrText xml:space="preserve"> HYPERLINK \l "_Toc443639046" </w:instrText>
      </w:r>
      <w:r>
        <w:rPr>
          <w:noProof/>
        </w:rPr>
      </w:r>
      <w:r>
        <w:rPr>
          <w:noProof/>
        </w:rPr>
        <w:fldChar w:fldCharType="separate"/>
      </w:r>
      <w:r w:rsidR="009231DF" w:rsidRPr="009231DF">
        <w:rPr>
          <w:rStyle w:val="Hyperlink"/>
          <w:rFonts w:ascii="Arial" w:hAnsi="Arial" w:cs="Arial"/>
          <w:noProof/>
          <w:sz w:val="20"/>
          <w:szCs w:val="20"/>
        </w:rPr>
        <w:t>Part A: Subject content</w:t>
      </w:r>
      <w:r w:rsidR="009231DF" w:rsidRPr="009231DF">
        <w:rPr>
          <w:rFonts w:ascii="Arial" w:hAnsi="Arial" w:cs="Arial"/>
          <w:noProof/>
          <w:webHidden/>
          <w:sz w:val="20"/>
          <w:szCs w:val="20"/>
        </w:rPr>
        <w:tab/>
      </w:r>
      <w:bookmarkStart w:id="2" w:name="_GoBack"/>
      <w:bookmarkEnd w:id="2"/>
      <w:r w:rsidR="009231DF" w:rsidRPr="009231DF">
        <w:rPr>
          <w:rFonts w:ascii="Arial" w:hAnsi="Arial" w:cs="Arial"/>
          <w:noProof/>
          <w:webHidden/>
          <w:sz w:val="20"/>
          <w:szCs w:val="20"/>
        </w:rPr>
        <w:fldChar w:fldCharType="begin"/>
      </w:r>
      <w:r w:rsidR="009231DF" w:rsidRPr="009231DF">
        <w:rPr>
          <w:rFonts w:ascii="Arial" w:hAnsi="Arial" w:cs="Arial"/>
          <w:noProof/>
          <w:webHidden/>
          <w:sz w:val="20"/>
          <w:szCs w:val="20"/>
        </w:rPr>
        <w:instrText xml:space="preserve"> PAGEREF _Toc443639046 \h </w:instrText>
      </w:r>
      <w:r w:rsidR="009231DF" w:rsidRPr="009231DF">
        <w:rPr>
          <w:rFonts w:ascii="Arial" w:hAnsi="Arial" w:cs="Arial"/>
          <w:noProof/>
          <w:webHidden/>
          <w:sz w:val="20"/>
          <w:szCs w:val="20"/>
        </w:rPr>
      </w:r>
      <w:r w:rsidR="009231DF" w:rsidRPr="009231DF">
        <w:rPr>
          <w:rFonts w:ascii="Arial" w:hAnsi="Arial" w:cs="Arial"/>
          <w:noProof/>
          <w:webHidden/>
          <w:sz w:val="20"/>
          <w:szCs w:val="20"/>
        </w:rPr>
        <w:fldChar w:fldCharType="separate"/>
      </w:r>
      <w:r>
        <w:rPr>
          <w:rFonts w:ascii="Arial" w:hAnsi="Arial" w:cs="Arial"/>
          <w:noProof/>
          <w:webHidden/>
          <w:sz w:val="20"/>
          <w:szCs w:val="20"/>
        </w:rPr>
        <w:t>6</w:t>
      </w:r>
      <w:r w:rsidR="009231DF" w:rsidRPr="009231DF">
        <w:rPr>
          <w:rFonts w:ascii="Arial" w:hAnsi="Arial" w:cs="Arial"/>
          <w:noProof/>
          <w:webHidden/>
          <w:sz w:val="20"/>
          <w:szCs w:val="20"/>
        </w:rPr>
        <w:fldChar w:fldCharType="end"/>
      </w:r>
      <w:r>
        <w:rPr>
          <w:rFonts w:ascii="Arial" w:hAnsi="Arial" w:cs="Arial"/>
          <w:noProof/>
          <w:sz w:val="20"/>
          <w:szCs w:val="20"/>
        </w:rPr>
        <w:fldChar w:fldCharType="end"/>
      </w:r>
    </w:p>
    <w:p w:rsidR="009231DF" w:rsidRPr="009231DF" w:rsidRDefault="00E2140F">
      <w:pPr>
        <w:pStyle w:val="TOC1"/>
        <w:rPr>
          <w:rFonts w:ascii="Arial" w:eastAsiaTheme="minorEastAsia" w:hAnsi="Arial" w:cs="Arial"/>
          <w:noProof/>
          <w:sz w:val="20"/>
          <w:szCs w:val="20"/>
          <w:lang w:eastAsia="en-GB"/>
        </w:rPr>
      </w:pPr>
      <w:hyperlink w:anchor="_Toc443639047" w:history="1">
        <w:r w:rsidR="009231DF" w:rsidRPr="009231DF">
          <w:rPr>
            <w:rStyle w:val="Hyperlink"/>
            <w:rFonts w:ascii="Arial" w:hAnsi="Arial" w:cs="Arial"/>
            <w:noProof/>
            <w:sz w:val="20"/>
            <w:szCs w:val="20"/>
          </w:rPr>
          <w:t>Part B: Historian’s interpretations</w:t>
        </w:r>
        <w:r w:rsidR="009231DF" w:rsidRPr="009231DF">
          <w:rPr>
            <w:rFonts w:ascii="Arial" w:hAnsi="Arial" w:cs="Arial"/>
            <w:noProof/>
            <w:webHidden/>
            <w:sz w:val="20"/>
            <w:szCs w:val="20"/>
          </w:rPr>
          <w:tab/>
        </w:r>
        <w:r w:rsidR="009231DF" w:rsidRPr="009231DF">
          <w:rPr>
            <w:rFonts w:ascii="Arial" w:hAnsi="Arial" w:cs="Arial"/>
            <w:noProof/>
            <w:webHidden/>
            <w:sz w:val="20"/>
            <w:szCs w:val="20"/>
          </w:rPr>
          <w:fldChar w:fldCharType="begin"/>
        </w:r>
        <w:r w:rsidR="009231DF" w:rsidRPr="009231DF">
          <w:rPr>
            <w:rFonts w:ascii="Arial" w:hAnsi="Arial" w:cs="Arial"/>
            <w:noProof/>
            <w:webHidden/>
            <w:sz w:val="20"/>
            <w:szCs w:val="20"/>
          </w:rPr>
          <w:instrText xml:space="preserve"> PAGEREF _Toc443639047 \h </w:instrText>
        </w:r>
        <w:r w:rsidR="009231DF" w:rsidRPr="009231DF">
          <w:rPr>
            <w:rFonts w:ascii="Arial" w:hAnsi="Arial" w:cs="Arial"/>
            <w:noProof/>
            <w:webHidden/>
            <w:sz w:val="20"/>
            <w:szCs w:val="20"/>
          </w:rPr>
        </w:r>
        <w:r w:rsidR="009231DF" w:rsidRPr="009231DF">
          <w:rPr>
            <w:rFonts w:ascii="Arial" w:hAnsi="Arial" w:cs="Arial"/>
            <w:noProof/>
            <w:webHidden/>
            <w:sz w:val="20"/>
            <w:szCs w:val="20"/>
          </w:rPr>
          <w:fldChar w:fldCharType="separate"/>
        </w:r>
        <w:r>
          <w:rPr>
            <w:rFonts w:ascii="Arial" w:hAnsi="Arial" w:cs="Arial"/>
            <w:noProof/>
            <w:webHidden/>
            <w:sz w:val="20"/>
            <w:szCs w:val="20"/>
          </w:rPr>
          <w:t>9</w:t>
        </w:r>
        <w:r w:rsidR="009231DF" w:rsidRPr="009231DF">
          <w:rPr>
            <w:rFonts w:ascii="Arial" w:hAnsi="Arial" w:cs="Arial"/>
            <w:noProof/>
            <w:webHidden/>
            <w:sz w:val="20"/>
            <w:szCs w:val="20"/>
          </w:rPr>
          <w:fldChar w:fldCharType="end"/>
        </w:r>
      </w:hyperlink>
    </w:p>
    <w:p w:rsidR="00233E9C" w:rsidRDefault="009C229B" w:rsidP="00B434C1">
      <w:pPr>
        <w:ind w:left="-567"/>
        <w:rPr>
          <w:sz w:val="20"/>
          <w:szCs w:val="20"/>
        </w:rPr>
      </w:pPr>
      <w:r w:rsidRPr="009231DF">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39045"/>
    <w:p w:rsidR="00A96156" w:rsidRPr="009231DF" w:rsidRDefault="009231DF" w:rsidP="009231DF">
      <w:pPr>
        <w:pStyle w:val="Heading1"/>
      </w:pPr>
      <w:r w:rsidRPr="009231DF">
        <w:lastRenderedPageBreak/>
        <w:fldChar w:fldCharType="begin"/>
      </w:r>
      <w:r w:rsidRPr="009231DF">
        <w:instrText xml:space="preserve"> HYPERLINK  \l "_Contents" </w:instrText>
      </w:r>
      <w:r w:rsidRPr="009231DF">
        <w:fldChar w:fldCharType="separate"/>
      </w:r>
      <w:r w:rsidR="000B0E42" w:rsidRPr="009231DF">
        <w:rPr>
          <w:rStyle w:val="Hyperlink"/>
          <w:color w:val="C30045"/>
          <w:u w:val="none"/>
        </w:rPr>
        <w:t>Introduction</w:t>
      </w:r>
      <w:bookmarkEnd w:id="3"/>
      <w:r w:rsidRPr="009231DF">
        <w:fldChar w:fldCharType="end"/>
      </w:r>
    </w:p>
    <w:p w:rsidR="009231DF" w:rsidRPr="009231DF" w:rsidRDefault="009231DF" w:rsidP="009231DF">
      <w:pPr>
        <w:pStyle w:val="Heading2"/>
      </w:pPr>
      <w:bookmarkStart w:id="4" w:name="_Toc441140276"/>
      <w:r w:rsidRPr="009231DF">
        <w:t>Recommended prior knowledge</w:t>
      </w:r>
      <w:bookmarkEnd w:id="4"/>
      <w:r w:rsidRPr="009231DF">
        <w:t xml:space="preserve"> </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Most learners taking this component will have studied History at IGCSE, GCSE or O </w:t>
      </w:r>
      <w:proofErr w:type="gramStart"/>
      <w:r w:rsidRPr="009231DF">
        <w:rPr>
          <w:rFonts w:ascii="Arial" w:hAnsi="Arial" w:cs="Arial"/>
          <w:sz w:val="20"/>
          <w:szCs w:val="20"/>
        </w:rPr>
        <w:t>Level</w:t>
      </w:r>
      <w:proofErr w:type="gramEnd"/>
      <w:r w:rsidRPr="009231DF">
        <w:rPr>
          <w:rFonts w:ascii="Arial" w:hAnsi="Arial" w:cs="Arial"/>
          <w:sz w:val="20"/>
          <w:szCs w:val="20"/>
        </w:rPr>
        <w:t>, and will already have taken the Cambridge International AS History examination. These courses will have equipped them with some background in the subject. However, for this component, no specific prior knowledge is required.</w:t>
      </w:r>
    </w:p>
    <w:p w:rsidR="009231DF" w:rsidRPr="009231DF" w:rsidRDefault="009231DF" w:rsidP="009231DF">
      <w:pPr>
        <w:pStyle w:val="Heading2"/>
      </w:pPr>
      <w:bookmarkStart w:id="5" w:name="_Toc441140277"/>
      <w:r w:rsidRPr="009231DF">
        <w:t>Context</w:t>
      </w:r>
      <w:bookmarkEnd w:id="5"/>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From their previous studies learners will have developed some understanding about the methods of the subject, and in particular will be familiar with working with sources. However, they will have had less exposure to historians’ interpretations and the issues raised by differences between these interpretations. </w:t>
      </w:r>
    </w:p>
    <w:p w:rsidR="009231DF" w:rsidRPr="009231DF" w:rsidRDefault="009231DF" w:rsidP="009231DF">
      <w:pPr>
        <w:pStyle w:val="Heading2"/>
      </w:pPr>
      <w:bookmarkStart w:id="6" w:name="_Toc441140278"/>
      <w:r w:rsidRPr="009231DF">
        <w:t>Outline</w:t>
      </w:r>
      <w:bookmarkEnd w:id="6"/>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The main focus of the study is on what historians have written about the topic, but to enable learners to understand and analyse these interpretations they will also need to acquire a broad contextual knowledge of the topic itself, although this knowledge will never be directly tested for its own sake in the examination.</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In this scheme of work the topics of component 3 are presented in two parts: </w:t>
      </w:r>
    </w:p>
    <w:p w:rsidR="009231DF" w:rsidRPr="009231DF" w:rsidRDefault="009231DF" w:rsidP="009231DF">
      <w:pPr>
        <w:pStyle w:val="ListParagraph"/>
        <w:numPr>
          <w:ilvl w:val="0"/>
          <w:numId w:val="13"/>
        </w:numPr>
        <w:spacing w:before="120" w:after="120"/>
        <w:ind w:left="-142"/>
        <w:contextualSpacing w:val="0"/>
        <w:rPr>
          <w:rFonts w:cs="Arial"/>
        </w:rPr>
      </w:pPr>
      <w:r w:rsidRPr="009231DF">
        <w:rPr>
          <w:rFonts w:cs="Arial"/>
          <w:b/>
          <w:color w:val="C30045"/>
        </w:rPr>
        <w:t>Part A. Subject content.</w:t>
      </w:r>
      <w:r w:rsidRPr="009231DF">
        <w:rPr>
          <w:rFonts w:cs="Arial"/>
          <w:color w:val="C30045"/>
        </w:rPr>
        <w:t xml:space="preserve"> </w:t>
      </w:r>
      <w:r w:rsidRPr="009231DF">
        <w:rPr>
          <w:rFonts w:cs="Arial"/>
        </w:rPr>
        <w:t>The over-arching key question, ‘</w:t>
      </w:r>
      <w:r w:rsidRPr="009231DF">
        <w:rPr>
          <w:rFonts w:cs="Arial"/>
          <w:i/>
        </w:rPr>
        <w:t>Why did the Holocaust occur?</w:t>
      </w:r>
      <w:proofErr w:type="gramStart"/>
      <w:r w:rsidRPr="009231DF">
        <w:rPr>
          <w:rFonts w:cs="Arial"/>
          <w:i/>
        </w:rPr>
        <w:t>’</w:t>
      </w:r>
      <w:r w:rsidRPr="009231DF">
        <w:rPr>
          <w:rFonts w:cs="Arial"/>
        </w:rPr>
        <w:t>,</w:t>
      </w:r>
      <w:proofErr w:type="gramEnd"/>
      <w:r w:rsidRPr="009231DF">
        <w:rPr>
          <w:rFonts w:cs="Arial"/>
        </w:rPr>
        <w:t xml:space="preserve"> covers each of the key content events and developments of the syllabus.</w:t>
      </w:r>
    </w:p>
    <w:p w:rsidR="009231DF" w:rsidRPr="009231DF" w:rsidRDefault="009231DF" w:rsidP="009231DF">
      <w:pPr>
        <w:pStyle w:val="ListParagraph"/>
        <w:numPr>
          <w:ilvl w:val="0"/>
          <w:numId w:val="13"/>
        </w:numPr>
        <w:spacing w:before="120" w:after="120"/>
        <w:ind w:left="-142"/>
        <w:contextualSpacing w:val="0"/>
        <w:rPr>
          <w:rFonts w:cs="Arial"/>
        </w:rPr>
      </w:pPr>
      <w:r w:rsidRPr="009231DF">
        <w:rPr>
          <w:rFonts w:cs="Arial"/>
          <w:b/>
          <w:color w:val="C30045"/>
        </w:rPr>
        <w:t>Part B. Historians’ interpretations.</w:t>
      </w:r>
      <w:r w:rsidRPr="009231DF">
        <w:rPr>
          <w:rFonts w:cs="Arial"/>
          <w:color w:val="C30045"/>
        </w:rPr>
        <w:t xml:space="preserve"> </w:t>
      </w:r>
      <w:r w:rsidRPr="009231DF">
        <w:rPr>
          <w:rFonts w:cs="Arial"/>
        </w:rPr>
        <w:t>The over-arching key question, ‘</w:t>
      </w:r>
      <w:r w:rsidRPr="009231DF">
        <w:rPr>
          <w:rFonts w:cs="Arial"/>
          <w:i/>
        </w:rPr>
        <w:t>How have historians of the Holocaust differed in their interpretations and approaches?</w:t>
      </w:r>
      <w:proofErr w:type="gramStart"/>
      <w:r w:rsidRPr="009231DF">
        <w:rPr>
          <w:rFonts w:cs="Arial"/>
          <w:i/>
        </w:rPr>
        <w:t>’</w:t>
      </w:r>
      <w:r w:rsidRPr="009231DF">
        <w:rPr>
          <w:rFonts w:cs="Arial"/>
        </w:rPr>
        <w:t>,</w:t>
      </w:r>
      <w:proofErr w:type="gramEnd"/>
      <w:r w:rsidRPr="009231DF">
        <w:rPr>
          <w:rFonts w:cs="Arial"/>
        </w:rPr>
        <w:t xml:space="preserve"> covers each of the key approaches in the syllabus.</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Key: whole class </w:t>
      </w:r>
      <w:r w:rsidRPr="009231DF">
        <w:rPr>
          <w:rFonts w:ascii="Arial" w:hAnsi="Arial" w:cs="Arial"/>
          <w:b/>
          <w:sz w:val="20"/>
          <w:szCs w:val="20"/>
        </w:rPr>
        <w:t>(W)</w:t>
      </w:r>
      <w:r w:rsidRPr="009231DF">
        <w:rPr>
          <w:rFonts w:ascii="Arial" w:hAnsi="Arial" w:cs="Arial"/>
          <w:sz w:val="20"/>
          <w:szCs w:val="20"/>
        </w:rPr>
        <w:t xml:space="preserve">, group work </w:t>
      </w:r>
      <w:r w:rsidRPr="009231DF">
        <w:rPr>
          <w:rFonts w:ascii="Arial" w:hAnsi="Arial" w:cs="Arial"/>
          <w:b/>
          <w:sz w:val="20"/>
          <w:szCs w:val="20"/>
        </w:rPr>
        <w:t>(G)</w:t>
      </w:r>
      <w:r w:rsidRPr="009231DF">
        <w:rPr>
          <w:rFonts w:ascii="Arial" w:hAnsi="Arial" w:cs="Arial"/>
          <w:sz w:val="20"/>
          <w:szCs w:val="20"/>
        </w:rPr>
        <w:t xml:space="preserve">, pair </w:t>
      </w:r>
      <w:r w:rsidRPr="009231DF">
        <w:rPr>
          <w:rFonts w:ascii="Arial" w:hAnsi="Arial" w:cs="Arial"/>
          <w:b/>
          <w:sz w:val="20"/>
          <w:szCs w:val="20"/>
        </w:rPr>
        <w:t>(P)</w:t>
      </w:r>
      <w:r w:rsidRPr="009231DF">
        <w:rPr>
          <w:rFonts w:ascii="Arial" w:hAnsi="Arial" w:cs="Arial"/>
          <w:sz w:val="20"/>
          <w:szCs w:val="20"/>
        </w:rPr>
        <w:t xml:space="preserve"> and individual activities </w:t>
      </w:r>
      <w:r w:rsidRPr="009231DF">
        <w:rPr>
          <w:rFonts w:ascii="Arial" w:hAnsi="Arial" w:cs="Arial"/>
          <w:b/>
          <w:sz w:val="20"/>
          <w:szCs w:val="20"/>
        </w:rPr>
        <w:t>(I)</w:t>
      </w:r>
      <w:r w:rsidRPr="009231DF">
        <w:rPr>
          <w:rFonts w:ascii="Arial" w:hAnsi="Arial" w:cs="Arial"/>
          <w:sz w:val="20"/>
          <w:szCs w:val="20"/>
        </w:rPr>
        <w:t xml:space="preserve">, as well as homework </w:t>
      </w:r>
      <w:r w:rsidRPr="009231DF">
        <w:rPr>
          <w:rFonts w:ascii="Arial" w:hAnsi="Arial" w:cs="Arial"/>
          <w:b/>
          <w:sz w:val="20"/>
          <w:szCs w:val="20"/>
        </w:rPr>
        <w:t xml:space="preserve">(H), </w:t>
      </w:r>
      <w:r w:rsidRPr="009231DF">
        <w:rPr>
          <w:rFonts w:ascii="Arial" w:hAnsi="Arial" w:cs="Arial"/>
          <w:sz w:val="20"/>
          <w:szCs w:val="20"/>
        </w:rPr>
        <w:t>are indicated within this scheme of work.</w:t>
      </w:r>
    </w:p>
    <w:p w:rsidR="009231DF" w:rsidRPr="009231DF" w:rsidRDefault="009231DF" w:rsidP="009231DF">
      <w:pPr>
        <w:pStyle w:val="Heading2"/>
      </w:pPr>
      <w:bookmarkStart w:id="7" w:name="_Toc441140279"/>
      <w:r w:rsidRPr="009231DF">
        <w:t>Resources</w:t>
      </w:r>
      <w:bookmarkEnd w:id="7"/>
    </w:p>
    <w:p w:rsidR="009231DF" w:rsidRPr="009231DF" w:rsidRDefault="009231DF" w:rsidP="009231DF">
      <w:pPr>
        <w:spacing w:before="120" w:after="120"/>
        <w:ind w:left="-567" w:right="43"/>
        <w:rPr>
          <w:rFonts w:ascii="Arial" w:hAnsi="Arial" w:cs="Arial"/>
          <w:sz w:val="20"/>
          <w:szCs w:val="20"/>
        </w:rPr>
      </w:pPr>
      <w:r w:rsidRPr="009231DF">
        <w:rPr>
          <w:rFonts w:ascii="Arial" w:hAnsi="Arial" w:cs="Arial"/>
          <w:bCs/>
          <w:sz w:val="20"/>
          <w:szCs w:val="20"/>
        </w:rPr>
        <w:t xml:space="preserve">The resources for this syllabus, including textbooks endorsed by Cambridge, can be found at </w:t>
      </w:r>
      <w:hyperlink r:id="rId14" w:history="1">
        <w:r w:rsidRPr="009231DF">
          <w:rPr>
            <w:rFonts w:ascii="Arial" w:hAnsi="Arial" w:cs="Arial"/>
            <w:bCs/>
            <w:color w:val="0000FF"/>
            <w:sz w:val="20"/>
            <w:szCs w:val="20"/>
            <w:u w:val="single"/>
          </w:rPr>
          <w:t>www.cie.org.uk</w:t>
        </w:r>
      </w:hyperlink>
      <w:r w:rsidRPr="009231DF">
        <w:rPr>
          <w:rFonts w:ascii="Arial" w:hAnsi="Arial" w:cs="Arial"/>
          <w:sz w:val="20"/>
          <w:szCs w:val="20"/>
        </w:rPr>
        <w:t xml:space="preserve"> and Teacher Support </w:t>
      </w:r>
      <w:hyperlink r:id="rId15" w:tooltip="http://teachers.cie.org.uk/" w:history="1">
        <w:r w:rsidRPr="009231DF">
          <w:rPr>
            <w:rFonts w:ascii="Arial" w:hAnsi="Arial" w:cs="Arial"/>
            <w:color w:val="0000FF"/>
            <w:sz w:val="20"/>
            <w:szCs w:val="20"/>
            <w:u w:val="single"/>
          </w:rPr>
          <w:t>http://teachers.cie.org.uk</w:t>
        </w:r>
      </w:hyperlink>
      <w:r w:rsidRPr="009231DF">
        <w:rPr>
          <w:rFonts w:ascii="Arial" w:hAnsi="Arial" w:cs="Arial"/>
          <w:sz w:val="20"/>
          <w:szCs w:val="20"/>
        </w:rPr>
        <w:t xml:space="preserve">. </w:t>
      </w:r>
    </w:p>
    <w:p w:rsidR="009231DF" w:rsidRPr="009231DF" w:rsidRDefault="009231DF" w:rsidP="009231DF">
      <w:pPr>
        <w:spacing w:before="120" w:after="120"/>
        <w:ind w:left="-567" w:right="43"/>
        <w:rPr>
          <w:rFonts w:ascii="Arial" w:hAnsi="Arial" w:cs="Arial"/>
          <w:sz w:val="20"/>
          <w:szCs w:val="20"/>
        </w:rPr>
      </w:pPr>
      <w:r w:rsidRPr="009231DF">
        <w:rPr>
          <w:rFonts w:ascii="Arial" w:hAnsi="Arial" w:cs="Arial"/>
          <w:b/>
          <w:bCs/>
          <w:sz w:val="20"/>
          <w:szCs w:val="20"/>
        </w:rPr>
        <w:t xml:space="preserve">Endorsed textbooks </w:t>
      </w:r>
      <w:r w:rsidRPr="009231DF">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 as they cover each learning objective.</w:t>
      </w:r>
    </w:p>
    <w:p w:rsidR="009231DF" w:rsidRPr="009231DF" w:rsidRDefault="009231DF" w:rsidP="009231DF">
      <w:pPr>
        <w:spacing w:before="120" w:after="120"/>
        <w:ind w:left="-567" w:right="45"/>
        <w:rPr>
          <w:rFonts w:ascii="Arial" w:hAnsi="Arial" w:cs="Arial"/>
          <w:bCs/>
          <w:sz w:val="20"/>
          <w:szCs w:val="20"/>
        </w:rPr>
      </w:pPr>
      <w:r w:rsidRPr="009231DF">
        <w:rPr>
          <w:rFonts w:ascii="Arial" w:hAnsi="Arial" w:cs="Arial"/>
          <w:sz w:val="20"/>
          <w:szCs w:val="20"/>
        </w:rPr>
        <w:t>Where other textbooks have shown to be useful for some learning objectives they are referred to by the first author. These include:</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b/>
          <w:sz w:val="20"/>
          <w:szCs w:val="20"/>
        </w:rPr>
        <w:t>General Introductions for all three topics</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Arnold, JH. </w:t>
      </w:r>
      <w:r w:rsidRPr="009231DF">
        <w:rPr>
          <w:rFonts w:ascii="Arial" w:hAnsi="Arial" w:cs="Arial"/>
          <w:i/>
          <w:sz w:val="20"/>
          <w:szCs w:val="20"/>
        </w:rPr>
        <w:t>History: A Very Short Introduction</w:t>
      </w:r>
      <w:r w:rsidRPr="009231DF">
        <w:rPr>
          <w:rFonts w:ascii="Arial" w:hAnsi="Arial" w:cs="Arial"/>
          <w:sz w:val="20"/>
          <w:szCs w:val="20"/>
        </w:rPr>
        <w:t>, Oxford University Press 2000</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Evans, RJ. </w:t>
      </w:r>
      <w:r w:rsidRPr="009231DF">
        <w:rPr>
          <w:rFonts w:ascii="Arial" w:hAnsi="Arial" w:cs="Arial"/>
          <w:i/>
          <w:sz w:val="20"/>
          <w:szCs w:val="20"/>
        </w:rPr>
        <w:t>In Defence of History</w:t>
      </w:r>
      <w:r w:rsidRPr="009231DF">
        <w:rPr>
          <w:rFonts w:ascii="Arial" w:hAnsi="Arial" w:cs="Arial"/>
          <w:sz w:val="20"/>
          <w:szCs w:val="20"/>
        </w:rPr>
        <w:t xml:space="preserve">, </w:t>
      </w:r>
      <w:proofErr w:type="spellStart"/>
      <w:r w:rsidRPr="009231DF">
        <w:rPr>
          <w:rFonts w:ascii="Arial" w:hAnsi="Arial" w:cs="Arial"/>
          <w:sz w:val="20"/>
          <w:szCs w:val="20"/>
        </w:rPr>
        <w:t>Granta</w:t>
      </w:r>
      <w:proofErr w:type="spellEnd"/>
      <w:r w:rsidRPr="009231DF">
        <w:rPr>
          <w:rFonts w:ascii="Arial" w:hAnsi="Arial" w:cs="Arial"/>
          <w:sz w:val="20"/>
          <w:szCs w:val="20"/>
        </w:rPr>
        <w:t xml:space="preserve"> Books 1997</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Tosh, J. </w:t>
      </w:r>
      <w:r w:rsidRPr="009231DF">
        <w:rPr>
          <w:rFonts w:ascii="Arial" w:hAnsi="Arial" w:cs="Arial"/>
          <w:i/>
          <w:sz w:val="20"/>
          <w:szCs w:val="20"/>
        </w:rPr>
        <w:t xml:space="preserve">The Pursuit of History, </w:t>
      </w:r>
      <w:r w:rsidRPr="009231DF">
        <w:rPr>
          <w:rFonts w:ascii="Arial" w:hAnsi="Arial" w:cs="Arial"/>
          <w:sz w:val="20"/>
          <w:szCs w:val="20"/>
        </w:rPr>
        <w:t>(5</w:t>
      </w:r>
      <w:r w:rsidRPr="009231DF">
        <w:rPr>
          <w:rFonts w:ascii="Arial" w:hAnsi="Arial" w:cs="Arial"/>
          <w:sz w:val="20"/>
          <w:szCs w:val="20"/>
          <w:vertAlign w:val="superscript"/>
        </w:rPr>
        <w:t>th</w:t>
      </w:r>
      <w:r w:rsidRPr="009231DF">
        <w:rPr>
          <w:rFonts w:ascii="Arial" w:hAnsi="Arial" w:cs="Arial"/>
          <w:sz w:val="20"/>
          <w:szCs w:val="20"/>
        </w:rPr>
        <w:t xml:space="preserve"> edition), </w:t>
      </w:r>
      <w:proofErr w:type="spellStart"/>
      <w:r w:rsidRPr="009231DF">
        <w:rPr>
          <w:rFonts w:ascii="Arial" w:hAnsi="Arial" w:cs="Arial"/>
          <w:sz w:val="20"/>
          <w:szCs w:val="20"/>
        </w:rPr>
        <w:t>Routledge</w:t>
      </w:r>
      <w:proofErr w:type="spellEnd"/>
      <w:r w:rsidRPr="009231DF">
        <w:rPr>
          <w:rFonts w:ascii="Arial" w:hAnsi="Arial" w:cs="Arial"/>
          <w:sz w:val="20"/>
          <w:szCs w:val="20"/>
        </w:rPr>
        <w:t xml:space="preserve"> 2010</w:t>
      </w:r>
    </w:p>
    <w:p w:rsidR="009231DF" w:rsidRPr="009231DF" w:rsidRDefault="009231DF" w:rsidP="009231DF">
      <w:pPr>
        <w:spacing w:before="120" w:after="120"/>
        <w:ind w:left="-567"/>
        <w:rPr>
          <w:rFonts w:ascii="Arial" w:hAnsi="Arial" w:cs="Arial"/>
          <w:sz w:val="20"/>
          <w:szCs w:val="20"/>
        </w:rPr>
      </w:pPr>
      <w:r w:rsidRPr="009231DF">
        <w:rPr>
          <w:rFonts w:ascii="Arial" w:hAnsi="Arial" w:cs="Arial"/>
          <w:b/>
          <w:sz w:val="20"/>
          <w:szCs w:val="20"/>
        </w:rPr>
        <w:t>Secondary texts for learners – Topic 2: The Holocaust</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lastRenderedPageBreak/>
        <w:t xml:space="preserve">Farmer, A, </w:t>
      </w:r>
      <w:r w:rsidRPr="009231DF">
        <w:rPr>
          <w:rFonts w:ascii="Arial" w:hAnsi="Arial" w:cs="Arial"/>
          <w:i/>
          <w:sz w:val="20"/>
          <w:szCs w:val="20"/>
        </w:rPr>
        <w:t>Anti-Semitism and the Holocaust (2</w:t>
      </w:r>
      <w:r w:rsidRPr="009231DF">
        <w:rPr>
          <w:rFonts w:ascii="Arial" w:hAnsi="Arial" w:cs="Arial"/>
          <w:i/>
          <w:sz w:val="20"/>
          <w:szCs w:val="20"/>
          <w:vertAlign w:val="superscript"/>
        </w:rPr>
        <w:t>nd</w:t>
      </w:r>
      <w:r w:rsidRPr="009231DF">
        <w:rPr>
          <w:rFonts w:ascii="Arial" w:hAnsi="Arial" w:cs="Arial"/>
          <w:i/>
          <w:sz w:val="20"/>
          <w:szCs w:val="20"/>
        </w:rPr>
        <w:t xml:space="preserve"> edition)</w:t>
      </w:r>
      <w:r w:rsidRPr="009231DF">
        <w:rPr>
          <w:rFonts w:ascii="Arial" w:hAnsi="Arial" w:cs="Arial"/>
          <w:sz w:val="20"/>
          <w:szCs w:val="20"/>
        </w:rPr>
        <w:t xml:space="preserve">, </w:t>
      </w:r>
      <w:proofErr w:type="spellStart"/>
      <w:r w:rsidRPr="009231DF">
        <w:rPr>
          <w:rFonts w:ascii="Arial" w:hAnsi="Arial" w:cs="Arial"/>
          <w:sz w:val="20"/>
          <w:szCs w:val="20"/>
        </w:rPr>
        <w:t>Hodder</w:t>
      </w:r>
      <w:proofErr w:type="spellEnd"/>
      <w:r w:rsidRPr="009231DF">
        <w:rPr>
          <w:rFonts w:ascii="Arial" w:hAnsi="Arial" w:cs="Arial"/>
          <w:sz w:val="20"/>
          <w:szCs w:val="20"/>
        </w:rPr>
        <w:t xml:space="preserve"> Education 2009 </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Neville, P,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Holocaust</w:t>
      </w:r>
      <w:r w:rsidRPr="009231DF">
        <w:rPr>
          <w:rFonts w:ascii="Arial" w:hAnsi="Arial" w:cs="Arial"/>
          <w:sz w:val="20"/>
          <w:szCs w:val="20"/>
        </w:rPr>
        <w:t xml:space="preserve">, Cambridge University Press 1999 </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Kershaw, I, </w:t>
      </w:r>
      <w:r w:rsidRPr="009231DF">
        <w:rPr>
          <w:rFonts w:ascii="Arial" w:hAnsi="Arial" w:cs="Arial"/>
          <w:i/>
          <w:sz w:val="20"/>
          <w:szCs w:val="20"/>
        </w:rPr>
        <w:t>Hitler, the Germans, and the Final Solution,</w:t>
      </w:r>
      <w:r w:rsidRPr="009231DF">
        <w:rPr>
          <w:rFonts w:ascii="Arial" w:hAnsi="Arial" w:cs="Arial"/>
          <w:sz w:val="20"/>
          <w:szCs w:val="20"/>
        </w:rPr>
        <w:t xml:space="preserve"> Yale University Press 2008</w:t>
      </w:r>
    </w:p>
    <w:p w:rsidR="009231DF" w:rsidRPr="009231DF" w:rsidRDefault="009231DF" w:rsidP="009231DF">
      <w:pPr>
        <w:tabs>
          <w:tab w:val="left" w:pos="11640"/>
        </w:tabs>
        <w:spacing w:before="120" w:after="120"/>
        <w:ind w:left="-567"/>
        <w:rPr>
          <w:rFonts w:ascii="Arial" w:hAnsi="Arial" w:cs="Arial"/>
          <w:b/>
          <w:sz w:val="20"/>
          <w:szCs w:val="20"/>
        </w:rPr>
      </w:pPr>
      <w:r w:rsidRPr="009231DF">
        <w:rPr>
          <w:rFonts w:ascii="Arial" w:hAnsi="Arial" w:cs="Arial"/>
          <w:b/>
          <w:sz w:val="20"/>
          <w:szCs w:val="20"/>
        </w:rPr>
        <w:t>Other useful texts</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Arendt, H, </w:t>
      </w:r>
      <w:r w:rsidRPr="009231DF">
        <w:rPr>
          <w:rFonts w:ascii="Arial" w:hAnsi="Arial" w:cs="Arial"/>
          <w:i/>
          <w:sz w:val="20"/>
          <w:szCs w:val="20"/>
        </w:rPr>
        <w:t>Eichmann in Jerusalem</w:t>
      </w:r>
      <w:r w:rsidRPr="009231DF">
        <w:rPr>
          <w:rFonts w:ascii="Arial" w:hAnsi="Arial" w:cs="Arial"/>
          <w:sz w:val="20"/>
          <w:szCs w:val="20"/>
        </w:rPr>
        <w:t xml:space="preserve">, Penguin 2006 </w:t>
      </w:r>
    </w:p>
    <w:p w:rsidR="009231DF" w:rsidRPr="009231DF" w:rsidRDefault="009231DF" w:rsidP="009231DF">
      <w:pPr>
        <w:tabs>
          <w:tab w:val="left" w:pos="11640"/>
        </w:tabs>
        <w:spacing w:before="120" w:after="120"/>
        <w:ind w:left="-567"/>
        <w:rPr>
          <w:rFonts w:ascii="Arial" w:hAnsi="Arial" w:cs="Arial"/>
          <w:sz w:val="20"/>
          <w:szCs w:val="20"/>
        </w:rPr>
      </w:pPr>
      <w:proofErr w:type="spellStart"/>
      <w:r w:rsidRPr="009231DF">
        <w:rPr>
          <w:rFonts w:ascii="Arial" w:hAnsi="Arial" w:cs="Arial"/>
          <w:sz w:val="20"/>
          <w:szCs w:val="20"/>
        </w:rPr>
        <w:t>Broszat</w:t>
      </w:r>
      <w:proofErr w:type="spellEnd"/>
      <w:r w:rsidRPr="009231DF">
        <w:rPr>
          <w:rFonts w:ascii="Arial" w:hAnsi="Arial" w:cs="Arial"/>
          <w:sz w:val="20"/>
          <w:szCs w:val="20"/>
        </w:rPr>
        <w:t xml:space="preserve">, M, </w:t>
      </w:r>
      <w:r w:rsidRPr="009231DF">
        <w:rPr>
          <w:rFonts w:ascii="Arial" w:hAnsi="Arial" w:cs="Arial"/>
          <w:i/>
          <w:sz w:val="20"/>
          <w:szCs w:val="20"/>
        </w:rPr>
        <w:t>Hitler and the Genesis of the Final Solution</w:t>
      </w:r>
      <w:r w:rsidRPr="009231DF">
        <w:rPr>
          <w:rFonts w:ascii="Arial" w:hAnsi="Arial" w:cs="Arial"/>
          <w:sz w:val="20"/>
          <w:szCs w:val="20"/>
        </w:rPr>
        <w:t xml:space="preserve">, (article in) </w:t>
      </w:r>
      <w:proofErr w:type="spellStart"/>
      <w:r w:rsidRPr="009231DF">
        <w:rPr>
          <w:rFonts w:ascii="Arial" w:hAnsi="Arial" w:cs="Arial"/>
          <w:sz w:val="20"/>
          <w:szCs w:val="20"/>
        </w:rPr>
        <w:t>Yad</w:t>
      </w:r>
      <w:proofErr w:type="spellEnd"/>
      <w:r w:rsidRPr="009231DF">
        <w:rPr>
          <w:rFonts w:ascii="Arial" w:hAnsi="Arial" w:cs="Arial"/>
          <w:sz w:val="20"/>
          <w:szCs w:val="20"/>
        </w:rPr>
        <w:t xml:space="preserve"> </w:t>
      </w:r>
      <w:proofErr w:type="spellStart"/>
      <w:r w:rsidRPr="009231DF">
        <w:rPr>
          <w:rFonts w:ascii="Arial" w:hAnsi="Arial" w:cs="Arial"/>
          <w:sz w:val="20"/>
          <w:szCs w:val="20"/>
        </w:rPr>
        <w:t>Vashem</w:t>
      </w:r>
      <w:proofErr w:type="spellEnd"/>
      <w:r w:rsidRPr="009231DF">
        <w:rPr>
          <w:rFonts w:ascii="Arial" w:hAnsi="Arial" w:cs="Arial"/>
          <w:sz w:val="20"/>
          <w:szCs w:val="20"/>
        </w:rPr>
        <w:t xml:space="preserve"> Studies (13), 1979</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Browning, C,</w:t>
      </w:r>
      <w:r w:rsidRPr="009231DF">
        <w:rPr>
          <w:rFonts w:ascii="Arial" w:hAnsi="Arial" w:cs="Arial"/>
          <w:i/>
          <w:sz w:val="20"/>
          <w:szCs w:val="20"/>
        </w:rPr>
        <w:t xml:space="preserve"> Ordinary Men,</w:t>
      </w:r>
      <w:r w:rsidRPr="009231DF">
        <w:rPr>
          <w:rFonts w:ascii="Arial" w:hAnsi="Arial" w:cs="Arial"/>
          <w:sz w:val="20"/>
          <w:szCs w:val="20"/>
        </w:rPr>
        <w:t xml:space="preserve"> Penguin 2001</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Browning, C,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Origins of the Final Solution</w:t>
      </w:r>
      <w:r w:rsidRPr="009231DF">
        <w:rPr>
          <w:rFonts w:ascii="Arial" w:hAnsi="Arial" w:cs="Arial"/>
          <w:sz w:val="20"/>
          <w:szCs w:val="20"/>
        </w:rPr>
        <w:t xml:space="preserve">, Arrow Books 2005 </w:t>
      </w:r>
    </w:p>
    <w:p w:rsidR="009231DF" w:rsidRPr="009231DF" w:rsidRDefault="009231DF" w:rsidP="009231DF">
      <w:pPr>
        <w:tabs>
          <w:tab w:val="left" w:pos="11640"/>
        </w:tabs>
        <w:spacing w:before="120" w:after="120"/>
        <w:ind w:left="-567"/>
        <w:rPr>
          <w:rFonts w:ascii="Arial" w:hAnsi="Arial" w:cs="Arial"/>
          <w:sz w:val="20"/>
          <w:szCs w:val="20"/>
        </w:rPr>
      </w:pPr>
      <w:proofErr w:type="spellStart"/>
      <w:r w:rsidRPr="009231DF">
        <w:rPr>
          <w:rFonts w:ascii="Arial" w:hAnsi="Arial" w:cs="Arial"/>
          <w:sz w:val="20"/>
          <w:szCs w:val="20"/>
        </w:rPr>
        <w:t>Dawidowicz</w:t>
      </w:r>
      <w:proofErr w:type="spellEnd"/>
      <w:r w:rsidRPr="009231DF">
        <w:rPr>
          <w:rFonts w:ascii="Arial" w:hAnsi="Arial" w:cs="Arial"/>
          <w:sz w:val="20"/>
          <w:szCs w:val="20"/>
        </w:rPr>
        <w:t xml:space="preserve">, </w:t>
      </w:r>
      <w:proofErr w:type="gramStart"/>
      <w:r w:rsidRPr="009231DF">
        <w:rPr>
          <w:rFonts w:ascii="Arial" w:hAnsi="Arial" w:cs="Arial"/>
          <w:sz w:val="20"/>
          <w:szCs w:val="20"/>
        </w:rPr>
        <w:t>L ,</w:t>
      </w:r>
      <w:r w:rsidRPr="009231DF">
        <w:rPr>
          <w:rFonts w:ascii="Arial" w:hAnsi="Arial" w:cs="Arial"/>
          <w:i/>
          <w:sz w:val="20"/>
          <w:szCs w:val="20"/>
        </w:rPr>
        <w:t>The</w:t>
      </w:r>
      <w:proofErr w:type="gramEnd"/>
      <w:r w:rsidRPr="009231DF">
        <w:rPr>
          <w:rFonts w:ascii="Arial" w:hAnsi="Arial" w:cs="Arial"/>
          <w:i/>
          <w:sz w:val="20"/>
          <w:szCs w:val="20"/>
        </w:rPr>
        <w:t xml:space="preserve"> War Against the Jews,</w:t>
      </w:r>
      <w:r w:rsidRPr="009231DF">
        <w:rPr>
          <w:rFonts w:ascii="Arial" w:hAnsi="Arial" w:cs="Arial"/>
          <w:sz w:val="20"/>
          <w:szCs w:val="20"/>
        </w:rPr>
        <w:t xml:space="preserve"> Bantam edition 1991</w:t>
      </w:r>
    </w:p>
    <w:p w:rsidR="009231DF" w:rsidRPr="009231DF" w:rsidRDefault="009231DF" w:rsidP="009231DF">
      <w:pPr>
        <w:tabs>
          <w:tab w:val="left" w:pos="11640"/>
        </w:tabs>
        <w:spacing w:before="120" w:after="120"/>
        <w:ind w:left="-567"/>
        <w:rPr>
          <w:rFonts w:ascii="Arial" w:hAnsi="Arial" w:cs="Arial"/>
          <w:sz w:val="20"/>
          <w:szCs w:val="20"/>
        </w:rPr>
      </w:pPr>
      <w:proofErr w:type="spellStart"/>
      <w:r w:rsidRPr="009231DF">
        <w:rPr>
          <w:rFonts w:ascii="Arial" w:hAnsi="Arial" w:cs="Arial"/>
          <w:sz w:val="20"/>
          <w:szCs w:val="20"/>
        </w:rPr>
        <w:t>Goldhagen</w:t>
      </w:r>
      <w:proofErr w:type="spellEnd"/>
      <w:r w:rsidRPr="009231DF">
        <w:rPr>
          <w:rFonts w:ascii="Arial" w:hAnsi="Arial" w:cs="Arial"/>
          <w:sz w:val="20"/>
          <w:szCs w:val="20"/>
        </w:rPr>
        <w:t xml:space="preserve">, D, </w:t>
      </w:r>
      <w:r w:rsidRPr="009231DF">
        <w:rPr>
          <w:rFonts w:ascii="Arial" w:hAnsi="Arial" w:cs="Arial"/>
          <w:i/>
          <w:sz w:val="20"/>
          <w:szCs w:val="20"/>
        </w:rPr>
        <w:t>Hitler’s Willing Executioners,</w:t>
      </w:r>
      <w:r w:rsidRPr="009231DF">
        <w:rPr>
          <w:rFonts w:ascii="Arial" w:hAnsi="Arial" w:cs="Arial"/>
          <w:sz w:val="20"/>
          <w:szCs w:val="20"/>
        </w:rPr>
        <w:t xml:space="preserve"> Abacus 1997</w:t>
      </w:r>
    </w:p>
    <w:p w:rsidR="009231DF" w:rsidRPr="009231DF" w:rsidRDefault="009231DF" w:rsidP="009231DF">
      <w:pPr>
        <w:tabs>
          <w:tab w:val="left" w:pos="11640"/>
        </w:tabs>
        <w:spacing w:before="120" w:after="120"/>
        <w:ind w:left="-567"/>
        <w:rPr>
          <w:rFonts w:ascii="Arial" w:hAnsi="Arial" w:cs="Arial"/>
          <w:sz w:val="20"/>
          <w:szCs w:val="20"/>
        </w:rPr>
      </w:pPr>
      <w:proofErr w:type="spellStart"/>
      <w:r w:rsidRPr="009231DF">
        <w:rPr>
          <w:rFonts w:ascii="Arial" w:hAnsi="Arial" w:cs="Arial"/>
          <w:sz w:val="20"/>
          <w:szCs w:val="20"/>
        </w:rPr>
        <w:t>Hilberg</w:t>
      </w:r>
      <w:proofErr w:type="spellEnd"/>
      <w:r w:rsidRPr="009231DF">
        <w:rPr>
          <w:rFonts w:ascii="Arial" w:hAnsi="Arial" w:cs="Arial"/>
          <w:sz w:val="20"/>
          <w:szCs w:val="20"/>
        </w:rPr>
        <w:t xml:space="preserve">, </w:t>
      </w:r>
      <w:proofErr w:type="spellStart"/>
      <w:r w:rsidRPr="009231DF">
        <w:rPr>
          <w:rFonts w:ascii="Arial" w:hAnsi="Arial" w:cs="Arial"/>
          <w:sz w:val="20"/>
          <w:szCs w:val="20"/>
        </w:rPr>
        <w:t>R</w:t>
      </w:r>
      <w:proofErr w:type="gramStart"/>
      <w:r w:rsidRPr="009231DF">
        <w:rPr>
          <w:rFonts w:ascii="Arial" w:hAnsi="Arial" w:cs="Arial"/>
          <w:sz w:val="20"/>
          <w:szCs w:val="20"/>
        </w:rPr>
        <w:t>,</w:t>
      </w:r>
      <w:r w:rsidRPr="009231DF">
        <w:rPr>
          <w:rFonts w:ascii="Arial" w:hAnsi="Arial" w:cs="Arial"/>
          <w:i/>
          <w:sz w:val="20"/>
          <w:szCs w:val="20"/>
        </w:rPr>
        <w:t>The</w:t>
      </w:r>
      <w:proofErr w:type="spellEnd"/>
      <w:proofErr w:type="gramEnd"/>
      <w:r w:rsidRPr="009231DF">
        <w:rPr>
          <w:rFonts w:ascii="Arial" w:hAnsi="Arial" w:cs="Arial"/>
          <w:i/>
          <w:sz w:val="20"/>
          <w:szCs w:val="20"/>
        </w:rPr>
        <w:t xml:space="preserve"> Destruction of the European Jews</w:t>
      </w:r>
      <w:r w:rsidRPr="009231DF">
        <w:rPr>
          <w:rFonts w:ascii="Arial" w:hAnsi="Arial" w:cs="Arial"/>
          <w:sz w:val="20"/>
          <w:szCs w:val="20"/>
        </w:rPr>
        <w:t>, Yale University Press (3rd edition) 2003</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Hull, I,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Measure of Atrocity: The German War against the </w:t>
      </w:r>
      <w:proofErr w:type="spellStart"/>
      <w:r w:rsidRPr="009231DF">
        <w:rPr>
          <w:rFonts w:ascii="Arial" w:hAnsi="Arial" w:cs="Arial"/>
          <w:i/>
          <w:sz w:val="20"/>
          <w:szCs w:val="20"/>
        </w:rPr>
        <w:t>Hereros</w:t>
      </w:r>
      <w:proofErr w:type="spellEnd"/>
      <w:r w:rsidRPr="009231DF">
        <w:rPr>
          <w:rFonts w:ascii="Arial" w:hAnsi="Arial" w:cs="Arial"/>
          <w:i/>
          <w:sz w:val="20"/>
          <w:szCs w:val="20"/>
        </w:rPr>
        <w:t xml:space="preserve">, </w:t>
      </w:r>
      <w:r w:rsidRPr="009231DF">
        <w:rPr>
          <w:rFonts w:ascii="Arial" w:hAnsi="Arial" w:cs="Arial"/>
          <w:sz w:val="20"/>
          <w:szCs w:val="20"/>
        </w:rPr>
        <w:t xml:space="preserve">GHI Bulletin no. 37, 2005. </w:t>
      </w:r>
      <w:hyperlink r:id="rId16" w:history="1">
        <w:r w:rsidRPr="009231DF">
          <w:rPr>
            <w:rStyle w:val="Hyperlink"/>
            <w:rFonts w:ascii="Arial" w:hAnsi="Arial" w:cs="Arial"/>
            <w:sz w:val="20"/>
            <w:szCs w:val="20"/>
          </w:rPr>
          <w:t>http://www.ghi-dc.org/publications/ghipubs/bu/037/6hull.pdf</w:t>
        </w:r>
      </w:hyperlink>
      <w:r w:rsidRPr="009231DF">
        <w:rPr>
          <w:rFonts w:ascii="Arial" w:hAnsi="Arial" w:cs="Arial"/>
          <w:sz w:val="20"/>
          <w:szCs w:val="20"/>
        </w:rPr>
        <w:t xml:space="preserve"> </w:t>
      </w:r>
    </w:p>
    <w:p w:rsidR="009231DF" w:rsidRPr="009231DF" w:rsidRDefault="009231DF" w:rsidP="009231DF">
      <w:pPr>
        <w:tabs>
          <w:tab w:val="left" w:pos="11640"/>
        </w:tabs>
        <w:spacing w:before="120" w:after="120"/>
        <w:ind w:left="-567"/>
        <w:rPr>
          <w:rFonts w:ascii="Arial" w:hAnsi="Arial" w:cs="Arial"/>
          <w:sz w:val="20"/>
          <w:szCs w:val="20"/>
        </w:rPr>
      </w:pPr>
      <w:proofErr w:type="spellStart"/>
      <w:r w:rsidRPr="009231DF">
        <w:rPr>
          <w:rFonts w:ascii="Arial" w:hAnsi="Arial" w:cs="Arial"/>
          <w:sz w:val="20"/>
          <w:szCs w:val="20"/>
        </w:rPr>
        <w:t>Krakowski</w:t>
      </w:r>
      <w:proofErr w:type="spellEnd"/>
      <w:r w:rsidRPr="009231DF">
        <w:rPr>
          <w:rFonts w:ascii="Arial" w:hAnsi="Arial" w:cs="Arial"/>
          <w:sz w:val="20"/>
          <w:szCs w:val="20"/>
        </w:rPr>
        <w:t xml:space="preserve">, S,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War of the Doomed: Jewish Armed Resistance in Poland, 1942–44</w:t>
      </w:r>
      <w:r w:rsidRPr="009231DF">
        <w:rPr>
          <w:rFonts w:ascii="Arial" w:hAnsi="Arial" w:cs="Arial"/>
          <w:sz w:val="20"/>
          <w:szCs w:val="20"/>
        </w:rPr>
        <w:t>, Holmes &amp; Meier 1984</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Morse, A, </w:t>
      </w:r>
      <w:r w:rsidRPr="009231DF">
        <w:rPr>
          <w:rFonts w:ascii="Arial" w:hAnsi="Arial" w:cs="Arial"/>
          <w:i/>
          <w:sz w:val="20"/>
          <w:szCs w:val="20"/>
        </w:rPr>
        <w:t>While 6 Million Died</w:t>
      </w:r>
      <w:r w:rsidRPr="009231DF">
        <w:rPr>
          <w:rFonts w:ascii="Arial" w:hAnsi="Arial" w:cs="Arial"/>
          <w:sz w:val="20"/>
          <w:szCs w:val="20"/>
        </w:rPr>
        <w:t>, Hart 1975</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Stone, D,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Historiography of the Holocaust</w:t>
      </w:r>
      <w:r w:rsidRPr="009231DF">
        <w:rPr>
          <w:rFonts w:ascii="Arial" w:hAnsi="Arial" w:cs="Arial"/>
          <w:sz w:val="20"/>
          <w:szCs w:val="20"/>
        </w:rPr>
        <w:t>, Palgrave Macmillan 2005.</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Trunk, I, </w:t>
      </w:r>
      <w:proofErr w:type="spellStart"/>
      <w:r w:rsidRPr="009231DF">
        <w:rPr>
          <w:rFonts w:ascii="Arial" w:hAnsi="Arial" w:cs="Arial"/>
          <w:i/>
          <w:sz w:val="20"/>
          <w:szCs w:val="20"/>
        </w:rPr>
        <w:t>Judenrat</w:t>
      </w:r>
      <w:proofErr w:type="spellEnd"/>
      <w:r w:rsidRPr="009231DF">
        <w:rPr>
          <w:rFonts w:ascii="Arial" w:hAnsi="Arial" w:cs="Arial"/>
          <w:i/>
          <w:sz w:val="20"/>
          <w:szCs w:val="20"/>
        </w:rPr>
        <w:t>: The Jewish Councils in Eastern Europe under Nazi Occupation</w:t>
      </w:r>
      <w:r w:rsidRPr="009231DF">
        <w:rPr>
          <w:rFonts w:ascii="Arial" w:hAnsi="Arial" w:cs="Arial"/>
          <w:sz w:val="20"/>
          <w:szCs w:val="20"/>
        </w:rPr>
        <w:t>, Collier Macmillan 1973</w:t>
      </w:r>
    </w:p>
    <w:p w:rsidR="009231DF" w:rsidRPr="009231DF" w:rsidRDefault="009231DF" w:rsidP="009231DF">
      <w:pPr>
        <w:tabs>
          <w:tab w:val="left" w:pos="11640"/>
        </w:tabs>
        <w:spacing w:before="120" w:after="120"/>
        <w:ind w:left="-567"/>
        <w:rPr>
          <w:rFonts w:ascii="Arial" w:hAnsi="Arial" w:cs="Arial"/>
          <w:sz w:val="20"/>
          <w:szCs w:val="20"/>
        </w:rPr>
      </w:pPr>
      <w:r w:rsidRPr="009231DF">
        <w:rPr>
          <w:rFonts w:ascii="Arial" w:hAnsi="Arial" w:cs="Arial"/>
          <w:sz w:val="20"/>
          <w:szCs w:val="20"/>
        </w:rPr>
        <w:t xml:space="preserve">Wyman, D,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Abandonment of the Jews,</w:t>
      </w:r>
      <w:r w:rsidRPr="009231DF">
        <w:rPr>
          <w:rFonts w:ascii="Arial" w:hAnsi="Arial" w:cs="Arial"/>
          <w:sz w:val="20"/>
          <w:szCs w:val="20"/>
        </w:rPr>
        <w:t xml:space="preserve"> The New Press 2007</w:t>
      </w:r>
    </w:p>
    <w:p w:rsidR="009231DF" w:rsidRPr="009231DF" w:rsidRDefault="009231DF" w:rsidP="009231DF">
      <w:pPr>
        <w:spacing w:before="120" w:after="120"/>
        <w:ind w:left="-567"/>
        <w:jc w:val="both"/>
        <w:rPr>
          <w:rFonts w:ascii="Arial" w:hAnsi="Arial" w:cs="Arial"/>
          <w:color w:val="17365D" w:themeColor="text2" w:themeShade="BF"/>
          <w:sz w:val="20"/>
          <w:szCs w:val="20"/>
        </w:rPr>
      </w:pPr>
      <w:r w:rsidRPr="009231DF">
        <w:rPr>
          <w:rFonts w:ascii="Arial" w:hAnsi="Arial" w:cs="Arial"/>
          <w:b/>
          <w:sz w:val="20"/>
          <w:szCs w:val="20"/>
        </w:rPr>
        <w:t>DVD/YouTube</w:t>
      </w:r>
    </w:p>
    <w:p w:rsidR="009231DF" w:rsidRPr="009231DF" w:rsidRDefault="009231DF" w:rsidP="009231DF">
      <w:pPr>
        <w:spacing w:before="120" w:after="120"/>
        <w:ind w:left="-567"/>
        <w:jc w:val="both"/>
        <w:rPr>
          <w:rFonts w:ascii="Arial" w:hAnsi="Arial" w:cs="Arial"/>
          <w:sz w:val="20"/>
          <w:szCs w:val="20"/>
        </w:rPr>
      </w:pPr>
      <w:r w:rsidRPr="009231DF">
        <w:rPr>
          <w:rFonts w:ascii="Arial" w:hAnsi="Arial" w:cs="Arial"/>
          <w:sz w:val="20"/>
          <w:szCs w:val="20"/>
        </w:rPr>
        <w:t xml:space="preserve">DVD: </w:t>
      </w:r>
      <w:r w:rsidRPr="009231DF">
        <w:rPr>
          <w:rFonts w:ascii="Arial" w:hAnsi="Arial" w:cs="Arial"/>
          <w:i/>
          <w:sz w:val="20"/>
          <w:szCs w:val="20"/>
        </w:rPr>
        <w:t>The Nazis: a Warning from History</w:t>
      </w:r>
      <w:r w:rsidRPr="009231DF">
        <w:rPr>
          <w:rFonts w:ascii="Arial" w:hAnsi="Arial" w:cs="Arial"/>
          <w:sz w:val="20"/>
          <w:szCs w:val="20"/>
        </w:rPr>
        <w:t>, BBC 1997</w:t>
      </w:r>
    </w:p>
    <w:p w:rsidR="009231DF" w:rsidRPr="009231DF" w:rsidRDefault="009231DF" w:rsidP="009231DF">
      <w:pPr>
        <w:spacing w:before="120" w:after="120"/>
        <w:ind w:left="-567"/>
        <w:jc w:val="both"/>
        <w:rPr>
          <w:rFonts w:ascii="Arial" w:hAnsi="Arial" w:cs="Arial"/>
          <w:sz w:val="20"/>
          <w:szCs w:val="20"/>
        </w:rPr>
      </w:pPr>
      <w:r w:rsidRPr="009231DF">
        <w:rPr>
          <w:rFonts w:ascii="Arial" w:hAnsi="Arial" w:cs="Arial"/>
          <w:sz w:val="20"/>
          <w:szCs w:val="20"/>
        </w:rPr>
        <w:t xml:space="preserve">Feature films/DVDs dealing with aspects of the Holocaust: e.g. </w:t>
      </w:r>
      <w:r w:rsidRPr="009231DF">
        <w:rPr>
          <w:rFonts w:ascii="Arial" w:hAnsi="Arial" w:cs="Arial"/>
          <w:i/>
          <w:sz w:val="20"/>
          <w:szCs w:val="20"/>
        </w:rPr>
        <w:t>Schindler’s List (1993), Life is Beautiful (1997), The Pianist (2002), Sophie’s Choice (1982).</w:t>
      </w:r>
    </w:p>
    <w:p w:rsidR="009231DF" w:rsidRPr="009231DF" w:rsidRDefault="009231DF" w:rsidP="009231DF">
      <w:pPr>
        <w:pStyle w:val="Heading2"/>
      </w:pPr>
      <w:bookmarkStart w:id="8" w:name="_Toc441140280"/>
      <w:r w:rsidRPr="009231DF">
        <w:t>Websites</w:t>
      </w:r>
      <w:bookmarkEnd w:id="8"/>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 The inclusion of a link to an external website should not be understood to be an endorsement of that website or the site's owners (or their products/services).</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9231DF" w:rsidRPr="009231DF" w:rsidRDefault="009231DF" w:rsidP="009231DF">
      <w:pPr>
        <w:spacing w:before="120" w:after="120"/>
        <w:ind w:left="-567"/>
        <w:rPr>
          <w:rFonts w:ascii="Arial" w:hAnsi="Arial" w:cs="Arial"/>
          <w:b/>
          <w:bCs/>
          <w:sz w:val="20"/>
          <w:szCs w:val="20"/>
        </w:rPr>
      </w:pPr>
      <w:r w:rsidRPr="009231DF">
        <w:rPr>
          <w:rFonts w:ascii="Arial" w:hAnsi="Arial" w:cs="Arial"/>
          <w:b/>
          <w:bCs/>
          <w:sz w:val="20"/>
          <w:szCs w:val="20"/>
        </w:rPr>
        <w:lastRenderedPageBreak/>
        <w:t xml:space="preserve">Useful websites include: </w:t>
      </w:r>
    </w:p>
    <w:p w:rsidR="009231DF" w:rsidRPr="009231DF" w:rsidRDefault="00E2140F" w:rsidP="009231DF">
      <w:pPr>
        <w:spacing w:before="120" w:after="120"/>
        <w:ind w:left="-567"/>
        <w:rPr>
          <w:rFonts w:ascii="Arial" w:hAnsi="Arial" w:cs="Arial"/>
          <w:sz w:val="20"/>
          <w:szCs w:val="20"/>
          <w:u w:val="single"/>
        </w:rPr>
      </w:pPr>
      <w:hyperlink r:id="rId17" w:history="1">
        <w:r w:rsidR="009231DF" w:rsidRPr="009231DF">
          <w:rPr>
            <w:rStyle w:val="Hyperlink"/>
            <w:rFonts w:ascii="Arial" w:hAnsi="Arial" w:cs="Arial"/>
            <w:sz w:val="20"/>
            <w:szCs w:val="20"/>
          </w:rPr>
          <w:t>www.yadvashem.org</w:t>
        </w:r>
      </w:hyperlink>
      <w:r w:rsidR="009231DF" w:rsidRPr="009231DF">
        <w:rPr>
          <w:rFonts w:ascii="Arial" w:hAnsi="Arial" w:cs="Arial"/>
          <w:sz w:val="20"/>
          <w:szCs w:val="20"/>
        </w:rPr>
        <w:t xml:space="preserve"> </w:t>
      </w:r>
      <w:proofErr w:type="gramStart"/>
      <w:r w:rsidR="009231DF" w:rsidRPr="009231DF">
        <w:rPr>
          <w:rFonts w:ascii="Arial" w:hAnsi="Arial" w:cs="Arial"/>
          <w:sz w:val="20"/>
          <w:szCs w:val="20"/>
        </w:rPr>
        <w:t>The</w:t>
      </w:r>
      <w:proofErr w:type="gramEnd"/>
      <w:r w:rsidR="009231DF" w:rsidRPr="009231DF">
        <w:rPr>
          <w:rFonts w:ascii="Arial" w:hAnsi="Arial" w:cs="Arial"/>
          <w:sz w:val="20"/>
          <w:szCs w:val="20"/>
        </w:rPr>
        <w:t xml:space="preserve"> website of </w:t>
      </w:r>
      <w:proofErr w:type="spellStart"/>
      <w:r w:rsidR="009231DF" w:rsidRPr="009231DF">
        <w:rPr>
          <w:rFonts w:ascii="Arial" w:hAnsi="Arial" w:cs="Arial"/>
          <w:sz w:val="20"/>
          <w:szCs w:val="20"/>
        </w:rPr>
        <w:t>Yad</w:t>
      </w:r>
      <w:proofErr w:type="spellEnd"/>
      <w:r w:rsidR="009231DF" w:rsidRPr="009231DF">
        <w:rPr>
          <w:rFonts w:ascii="Arial" w:hAnsi="Arial" w:cs="Arial"/>
          <w:sz w:val="20"/>
          <w:szCs w:val="20"/>
        </w:rPr>
        <w:t xml:space="preserve"> </w:t>
      </w:r>
      <w:proofErr w:type="spellStart"/>
      <w:r w:rsidR="009231DF" w:rsidRPr="009231DF">
        <w:rPr>
          <w:rFonts w:ascii="Arial" w:hAnsi="Arial" w:cs="Arial"/>
          <w:sz w:val="20"/>
          <w:szCs w:val="20"/>
        </w:rPr>
        <w:t>Vashem</w:t>
      </w:r>
      <w:proofErr w:type="spellEnd"/>
      <w:r w:rsidR="009231DF" w:rsidRPr="009231DF">
        <w:rPr>
          <w:rFonts w:ascii="Arial" w:hAnsi="Arial" w:cs="Arial"/>
          <w:sz w:val="20"/>
          <w:szCs w:val="20"/>
        </w:rPr>
        <w:t xml:space="preserve">, the Jewish people’s memorial to the Holocaust. </w:t>
      </w:r>
      <w:proofErr w:type="gramStart"/>
      <w:r w:rsidR="009231DF" w:rsidRPr="009231DF">
        <w:rPr>
          <w:rFonts w:ascii="Arial" w:hAnsi="Arial" w:cs="Arial"/>
          <w:sz w:val="20"/>
          <w:szCs w:val="20"/>
        </w:rPr>
        <w:t>Offers a huge collection of information and research materials.</w:t>
      </w:r>
      <w:proofErr w:type="gramEnd"/>
    </w:p>
    <w:p w:rsidR="009231DF" w:rsidRPr="009231DF" w:rsidRDefault="00E2140F" w:rsidP="009231DF">
      <w:pPr>
        <w:spacing w:before="120" w:after="120"/>
        <w:ind w:left="-567"/>
        <w:rPr>
          <w:rFonts w:ascii="Arial" w:hAnsi="Arial" w:cs="Arial"/>
          <w:sz w:val="20"/>
          <w:szCs w:val="20"/>
        </w:rPr>
      </w:pPr>
      <w:hyperlink r:id="rId18" w:history="1">
        <w:r w:rsidR="009231DF" w:rsidRPr="009231DF">
          <w:rPr>
            <w:rStyle w:val="Hyperlink"/>
            <w:rFonts w:ascii="Arial" w:hAnsi="Arial" w:cs="Arial"/>
            <w:sz w:val="20"/>
            <w:szCs w:val="20"/>
          </w:rPr>
          <w:t>https://en.wikipedia.org/wiki/List_of_Holocaust_films</w:t>
        </w:r>
      </w:hyperlink>
    </w:p>
    <w:p w:rsidR="009231DF" w:rsidRPr="009231DF" w:rsidRDefault="00E2140F" w:rsidP="009231DF">
      <w:pPr>
        <w:spacing w:before="120" w:after="120"/>
        <w:ind w:left="-567"/>
        <w:rPr>
          <w:rFonts w:ascii="Arial" w:hAnsi="Arial" w:cs="Arial"/>
          <w:sz w:val="20"/>
          <w:szCs w:val="20"/>
        </w:rPr>
      </w:pPr>
      <w:hyperlink r:id="rId19" w:history="1">
        <w:r w:rsidR="009231DF" w:rsidRPr="009231DF">
          <w:rPr>
            <w:rStyle w:val="Hyperlink"/>
            <w:rFonts w:ascii="Arial" w:hAnsi="Arial" w:cs="Arial"/>
            <w:sz w:val="20"/>
            <w:szCs w:val="20"/>
          </w:rPr>
          <w:t>http://www.ghi-dc.org</w:t>
        </w:r>
      </w:hyperlink>
      <w:r w:rsidR="009231DF" w:rsidRPr="009231DF">
        <w:rPr>
          <w:rFonts w:ascii="Arial" w:hAnsi="Arial" w:cs="Arial"/>
          <w:sz w:val="20"/>
          <w:szCs w:val="20"/>
        </w:rPr>
        <w:t xml:space="preserve"> German Historical Institute, Washington DC </w:t>
      </w:r>
    </w:p>
    <w:p w:rsidR="009231DF" w:rsidRPr="009231DF" w:rsidRDefault="00E2140F" w:rsidP="009231DF">
      <w:pPr>
        <w:spacing w:before="120" w:after="120"/>
        <w:ind w:left="-567"/>
        <w:rPr>
          <w:rFonts w:ascii="Arial" w:hAnsi="Arial" w:cs="Arial"/>
          <w:sz w:val="20"/>
          <w:szCs w:val="20"/>
        </w:rPr>
      </w:pPr>
      <w:hyperlink r:id="rId20" w:history="1">
        <w:r w:rsidR="009231DF" w:rsidRPr="009231DF">
          <w:rPr>
            <w:rStyle w:val="Hyperlink"/>
            <w:rFonts w:ascii="Arial" w:hAnsi="Arial" w:cs="Arial"/>
            <w:sz w:val="20"/>
            <w:szCs w:val="20"/>
          </w:rPr>
          <w:t>http://www.ghi-dc.org/publications/ghipubs/bu/037/6hull.pdf</w:t>
        </w:r>
      </w:hyperlink>
      <w:r w:rsidR="009231DF" w:rsidRPr="009231DF">
        <w:rPr>
          <w:rFonts w:ascii="Arial" w:hAnsi="Arial" w:cs="Arial"/>
          <w:sz w:val="20"/>
          <w:szCs w:val="20"/>
        </w:rPr>
        <w:t xml:space="preserve"> The Measure of Atrocity: The German War against the </w:t>
      </w:r>
      <w:proofErr w:type="spellStart"/>
      <w:r w:rsidR="009231DF" w:rsidRPr="009231DF">
        <w:rPr>
          <w:rFonts w:ascii="Arial" w:hAnsi="Arial" w:cs="Arial"/>
          <w:sz w:val="20"/>
          <w:szCs w:val="20"/>
        </w:rPr>
        <w:t>Hereros</w:t>
      </w:r>
      <w:proofErr w:type="spellEnd"/>
      <w:r w:rsidR="009231DF" w:rsidRPr="009231DF">
        <w:rPr>
          <w:rFonts w:ascii="Arial" w:hAnsi="Arial" w:cs="Arial"/>
          <w:sz w:val="20"/>
          <w:szCs w:val="20"/>
        </w:rPr>
        <w:t>, 1904–7</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39046"/>
    <w:p w:rsidR="008A6E68" w:rsidRPr="009231DF" w:rsidRDefault="009231DF" w:rsidP="009231DF">
      <w:pPr>
        <w:pStyle w:val="Heading1"/>
      </w:pPr>
      <w:r w:rsidRPr="009231DF">
        <w:lastRenderedPageBreak/>
        <w:fldChar w:fldCharType="begin"/>
      </w:r>
      <w:r w:rsidRPr="009231DF">
        <w:instrText xml:space="preserve"> HYPERLINK  \l "_Contents" </w:instrText>
      </w:r>
      <w:r w:rsidRPr="009231DF">
        <w:fldChar w:fldCharType="separate"/>
      </w:r>
      <w:r w:rsidRPr="009231DF">
        <w:rPr>
          <w:rStyle w:val="Hyperlink"/>
          <w:color w:val="C30045"/>
          <w:u w:val="none"/>
        </w:rPr>
        <w:t>Part A: Subject content</w:t>
      </w:r>
      <w:bookmarkEnd w:id="9"/>
      <w:r w:rsidRPr="009231DF">
        <w:fldChar w:fldCharType="end"/>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Although the examination on this component focuses on the ability to recognise the essential features of historians’ interpretations, learners’ ability to succeed in this will, to a great extent, depend on their understanding of two more fundamental questions: </w:t>
      </w:r>
    </w:p>
    <w:p w:rsidR="009231DF" w:rsidRPr="009231DF" w:rsidRDefault="009231DF" w:rsidP="009231DF">
      <w:pPr>
        <w:pStyle w:val="ListParagraph"/>
        <w:numPr>
          <w:ilvl w:val="0"/>
          <w:numId w:val="14"/>
        </w:numPr>
        <w:spacing w:before="120" w:after="120"/>
        <w:ind w:left="-142" w:hanging="357"/>
        <w:contextualSpacing w:val="0"/>
        <w:rPr>
          <w:rFonts w:cs="Arial"/>
          <w:b/>
          <w:i/>
        </w:rPr>
      </w:pPr>
      <w:r w:rsidRPr="009231DF">
        <w:rPr>
          <w:rFonts w:cs="Arial"/>
          <w:b/>
          <w:i/>
        </w:rPr>
        <w:t xml:space="preserve">Why do historians produce different interpretations of the same events? </w:t>
      </w:r>
    </w:p>
    <w:p w:rsidR="009231DF" w:rsidRPr="009231DF" w:rsidRDefault="009231DF" w:rsidP="009231DF">
      <w:pPr>
        <w:pStyle w:val="ListParagraph"/>
        <w:numPr>
          <w:ilvl w:val="0"/>
          <w:numId w:val="14"/>
        </w:numPr>
        <w:spacing w:before="120" w:after="120"/>
        <w:ind w:left="-142" w:hanging="357"/>
        <w:contextualSpacing w:val="0"/>
        <w:rPr>
          <w:rFonts w:cs="Arial"/>
          <w:b/>
          <w:i/>
        </w:rPr>
      </w:pPr>
      <w:r w:rsidRPr="009231DF">
        <w:rPr>
          <w:rFonts w:cs="Arial"/>
          <w:b/>
          <w:i/>
        </w:rPr>
        <w:t xml:space="preserve">Why do historians adopt different approaches to the same events? </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There are many excellent books which explore and discuss the nature of the historian’s work. Learners will benefit from using at least one of these throughout the course as a point of reference which can be consulted as a source of more general ideas than the topic-specific material they are studying in class. Some suggestions, varying in length and complexity, are:</w:t>
      </w:r>
    </w:p>
    <w:p w:rsidR="009231DF" w:rsidRPr="009231DF" w:rsidRDefault="009231DF" w:rsidP="009231DF">
      <w:pPr>
        <w:spacing w:before="120" w:after="120"/>
        <w:ind w:left="-142"/>
        <w:rPr>
          <w:rFonts w:ascii="Arial" w:hAnsi="Arial" w:cs="Arial"/>
          <w:sz w:val="20"/>
          <w:szCs w:val="20"/>
        </w:rPr>
      </w:pPr>
      <w:r w:rsidRPr="009231DF">
        <w:rPr>
          <w:rFonts w:ascii="Arial" w:hAnsi="Arial" w:cs="Arial"/>
          <w:sz w:val="20"/>
          <w:szCs w:val="20"/>
        </w:rPr>
        <w:t xml:space="preserve">John H Arnold, </w:t>
      </w:r>
      <w:r w:rsidRPr="009231DF">
        <w:rPr>
          <w:rFonts w:ascii="Arial" w:hAnsi="Arial" w:cs="Arial"/>
          <w:i/>
          <w:sz w:val="20"/>
          <w:szCs w:val="20"/>
        </w:rPr>
        <w:t>History: A Very Short Introduction</w:t>
      </w:r>
      <w:r w:rsidRPr="009231DF">
        <w:rPr>
          <w:rFonts w:ascii="Arial" w:hAnsi="Arial" w:cs="Arial"/>
          <w:sz w:val="20"/>
          <w:szCs w:val="20"/>
        </w:rPr>
        <w:t>, Oxford University Press 2000</w:t>
      </w:r>
    </w:p>
    <w:p w:rsidR="009231DF" w:rsidRPr="009231DF" w:rsidRDefault="009231DF" w:rsidP="009231DF">
      <w:pPr>
        <w:spacing w:before="120" w:after="120"/>
        <w:ind w:left="-142"/>
        <w:rPr>
          <w:rFonts w:ascii="Arial" w:hAnsi="Arial" w:cs="Arial"/>
          <w:sz w:val="20"/>
          <w:szCs w:val="20"/>
        </w:rPr>
      </w:pPr>
      <w:r w:rsidRPr="009231DF">
        <w:rPr>
          <w:rFonts w:ascii="Arial" w:hAnsi="Arial" w:cs="Arial"/>
          <w:sz w:val="20"/>
          <w:szCs w:val="20"/>
        </w:rPr>
        <w:t xml:space="preserve">Richard J Evans, </w:t>
      </w:r>
      <w:r w:rsidRPr="009231DF">
        <w:rPr>
          <w:rFonts w:ascii="Arial" w:hAnsi="Arial" w:cs="Arial"/>
          <w:i/>
          <w:sz w:val="20"/>
          <w:szCs w:val="20"/>
        </w:rPr>
        <w:t>In Defence of History</w:t>
      </w:r>
      <w:r w:rsidRPr="009231DF">
        <w:rPr>
          <w:rFonts w:ascii="Arial" w:hAnsi="Arial" w:cs="Arial"/>
          <w:sz w:val="20"/>
          <w:szCs w:val="20"/>
        </w:rPr>
        <w:t xml:space="preserve">, </w:t>
      </w:r>
      <w:proofErr w:type="spellStart"/>
      <w:r w:rsidRPr="009231DF">
        <w:rPr>
          <w:rFonts w:ascii="Arial" w:hAnsi="Arial" w:cs="Arial"/>
          <w:sz w:val="20"/>
          <w:szCs w:val="20"/>
        </w:rPr>
        <w:t>Granta</w:t>
      </w:r>
      <w:proofErr w:type="spellEnd"/>
      <w:r w:rsidRPr="009231DF">
        <w:rPr>
          <w:rFonts w:ascii="Arial" w:hAnsi="Arial" w:cs="Arial"/>
          <w:sz w:val="20"/>
          <w:szCs w:val="20"/>
        </w:rPr>
        <w:t xml:space="preserve"> Books 1997</w:t>
      </w:r>
    </w:p>
    <w:p w:rsidR="009231DF" w:rsidRPr="009231DF" w:rsidRDefault="009231DF" w:rsidP="009231DF">
      <w:pPr>
        <w:spacing w:before="120" w:after="120"/>
        <w:ind w:left="-142"/>
        <w:rPr>
          <w:rFonts w:ascii="Arial" w:hAnsi="Arial" w:cs="Arial"/>
          <w:sz w:val="20"/>
          <w:szCs w:val="20"/>
        </w:rPr>
      </w:pPr>
      <w:r w:rsidRPr="009231DF">
        <w:rPr>
          <w:rFonts w:ascii="Arial" w:hAnsi="Arial" w:cs="Arial"/>
          <w:sz w:val="20"/>
          <w:szCs w:val="20"/>
        </w:rPr>
        <w:t xml:space="preserve">John Tosh, </w:t>
      </w:r>
      <w:proofErr w:type="gramStart"/>
      <w:r w:rsidRPr="009231DF">
        <w:rPr>
          <w:rFonts w:ascii="Arial" w:hAnsi="Arial" w:cs="Arial"/>
          <w:i/>
          <w:sz w:val="20"/>
          <w:szCs w:val="20"/>
        </w:rPr>
        <w:t>The</w:t>
      </w:r>
      <w:proofErr w:type="gramEnd"/>
      <w:r w:rsidRPr="009231DF">
        <w:rPr>
          <w:rFonts w:ascii="Arial" w:hAnsi="Arial" w:cs="Arial"/>
          <w:i/>
          <w:sz w:val="20"/>
          <w:szCs w:val="20"/>
        </w:rPr>
        <w:t xml:space="preserve"> Pursuit of History (5</w:t>
      </w:r>
      <w:r w:rsidRPr="009231DF">
        <w:rPr>
          <w:rFonts w:ascii="Arial" w:hAnsi="Arial" w:cs="Arial"/>
          <w:i/>
          <w:sz w:val="20"/>
          <w:szCs w:val="20"/>
          <w:vertAlign w:val="superscript"/>
        </w:rPr>
        <w:t>th</w:t>
      </w:r>
      <w:r w:rsidRPr="009231DF">
        <w:rPr>
          <w:rFonts w:ascii="Arial" w:hAnsi="Arial" w:cs="Arial"/>
          <w:i/>
          <w:sz w:val="20"/>
          <w:szCs w:val="20"/>
        </w:rPr>
        <w:t xml:space="preserve"> Edition)</w:t>
      </w:r>
      <w:r w:rsidRPr="009231DF">
        <w:rPr>
          <w:rFonts w:ascii="Arial" w:hAnsi="Arial" w:cs="Arial"/>
          <w:sz w:val="20"/>
          <w:szCs w:val="20"/>
        </w:rPr>
        <w:t xml:space="preserve">, </w:t>
      </w:r>
      <w:proofErr w:type="spellStart"/>
      <w:r w:rsidRPr="009231DF">
        <w:rPr>
          <w:rFonts w:ascii="Arial" w:hAnsi="Arial" w:cs="Arial"/>
          <w:sz w:val="20"/>
          <w:szCs w:val="20"/>
        </w:rPr>
        <w:t>Routledge</w:t>
      </w:r>
      <w:proofErr w:type="spellEnd"/>
      <w:r w:rsidRPr="009231DF">
        <w:rPr>
          <w:rFonts w:ascii="Arial" w:hAnsi="Arial" w:cs="Arial"/>
          <w:sz w:val="20"/>
          <w:szCs w:val="20"/>
        </w:rPr>
        <w:t xml:space="preserve"> 2010</w:t>
      </w:r>
    </w:p>
    <w:p w:rsidR="009231DF" w:rsidRPr="009231DF" w:rsidRDefault="009231DF" w:rsidP="009231DF">
      <w:pPr>
        <w:spacing w:before="120" w:after="120"/>
        <w:ind w:left="-567"/>
        <w:rPr>
          <w:rFonts w:ascii="Arial" w:hAnsi="Arial" w:cs="Arial"/>
          <w:sz w:val="20"/>
          <w:szCs w:val="20"/>
        </w:rPr>
      </w:pPr>
      <w:r w:rsidRPr="009231DF">
        <w:rPr>
          <w:rFonts w:ascii="Arial" w:hAnsi="Arial" w:cs="Arial"/>
          <w:sz w:val="20"/>
          <w:szCs w:val="20"/>
        </w:rPr>
        <w:t xml:space="preserve">Learners need to be familiar with the areas of content listed below in order to understand how historians differ in their interpretations of them. Whilst factual knowledge is not tested for its own sake in the examination, it is required for learners to be able to identify, understand and explain the differences in the interpretations they will study. In practice this means that they should acquire a sound, general understanding of the period, rather than detailed knowledge. The content themes should be taught before you move on to the consideration of historians’ interpretations. Whether this means that all the content is introduced before any interpretations are covered, or whether the teaching of a content theme is followed by consideration of interpretations on that theme, is for you to decide. </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694"/>
        <w:gridCol w:w="8505"/>
        <w:gridCol w:w="3402"/>
      </w:tblGrid>
      <w:tr w:rsidR="009231DF" w:rsidRPr="009231DF" w:rsidTr="009231DF">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9231DF" w:rsidRPr="009231DF" w:rsidRDefault="009231DF" w:rsidP="009231DF">
            <w:pPr>
              <w:pStyle w:val="Heading2"/>
              <w:spacing w:before="0"/>
              <w:jc w:val="center"/>
            </w:pPr>
            <w:bookmarkStart w:id="10" w:name="_Toc441140282"/>
            <w:r w:rsidRPr="009231DF">
              <w:rPr>
                <w:color w:val="C00000"/>
              </w:rPr>
              <w:t>Key question: Why did the Holocaust occur?</w:t>
            </w:r>
            <w:bookmarkEnd w:id="10"/>
          </w:p>
        </w:tc>
      </w:tr>
      <w:tr w:rsidR="009231DF" w:rsidRPr="009231DF" w:rsidTr="009231DF">
        <w:trPr>
          <w:tblHeader/>
        </w:trPr>
        <w:tc>
          <w:tcPr>
            <w:tcW w:w="2694"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Key content</w:t>
            </w:r>
          </w:p>
        </w:tc>
        <w:tc>
          <w:tcPr>
            <w:tcW w:w="8505"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Suggested teaching activities</w:t>
            </w:r>
          </w:p>
        </w:tc>
        <w:tc>
          <w:tcPr>
            <w:tcW w:w="3402"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Learning resources</w:t>
            </w:r>
          </w:p>
        </w:tc>
      </w:tr>
      <w:tr w:rsidR="009231DF" w:rsidRPr="009231DF" w:rsidTr="009231DF">
        <w:tc>
          <w:tcPr>
            <w:tcW w:w="2694"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t>The background of European and German anti-Semitism and racist theories</w:t>
            </w:r>
          </w:p>
        </w:tc>
        <w:tc>
          <w:tcPr>
            <w:tcW w:w="8505" w:type="dxa"/>
          </w:tcPr>
          <w:p w:rsidR="009231DF" w:rsidRPr="009231DF" w:rsidRDefault="009231DF" w:rsidP="009231DF">
            <w:pPr>
              <w:pStyle w:val="Default"/>
              <w:numPr>
                <w:ilvl w:val="0"/>
                <w:numId w:val="15"/>
              </w:numPr>
              <w:spacing w:after="0" w:line="240" w:lineRule="auto"/>
              <w:rPr>
                <w:sz w:val="20"/>
                <w:szCs w:val="20"/>
              </w:rPr>
            </w:pPr>
            <w:r w:rsidRPr="009231DF">
              <w:rPr>
                <w:sz w:val="20"/>
                <w:szCs w:val="20"/>
              </w:rPr>
              <w:t xml:space="preserve">Teacher-led introductions on the following topics: </w:t>
            </w:r>
            <w:r w:rsidRPr="009231DF">
              <w:rPr>
                <w:b/>
                <w:sz w:val="20"/>
                <w:szCs w:val="20"/>
              </w:rPr>
              <w:t>(W)</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Background to European </w:t>
            </w:r>
            <w:proofErr w:type="spellStart"/>
            <w:r w:rsidRPr="009231DF">
              <w:rPr>
                <w:sz w:val="20"/>
                <w:szCs w:val="20"/>
              </w:rPr>
              <w:t>anti-semitism</w:t>
            </w:r>
            <w:proofErr w:type="spellEnd"/>
            <w:r w:rsidRPr="009231DF">
              <w:rPr>
                <w:sz w:val="20"/>
                <w:szCs w:val="20"/>
              </w:rPr>
              <w:t>;</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Treatment of Jews in Russia in late 19th century; </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Pogroms. </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Anti-Semitism in nineteenth-century Germany;</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Social Darwinism, connections between racist theories and colonialism, case study of German extermination campaign against the Herero in Namibia 1903–07. </w:t>
            </w:r>
          </w:p>
          <w:p w:rsidR="009231DF" w:rsidRPr="009231DF" w:rsidRDefault="009231DF" w:rsidP="009231DF">
            <w:pPr>
              <w:numPr>
                <w:ilvl w:val="0"/>
                <w:numId w:val="15"/>
              </w:numPr>
              <w:autoSpaceDE w:val="0"/>
              <w:autoSpaceDN w:val="0"/>
              <w:adjustRightInd w:val="0"/>
              <w:rPr>
                <w:rFonts w:ascii="Arial" w:hAnsi="Arial" w:cs="Arial"/>
                <w:b/>
                <w:color w:val="000000"/>
                <w:sz w:val="20"/>
                <w:szCs w:val="20"/>
              </w:rPr>
            </w:pPr>
            <w:r w:rsidRPr="009231DF">
              <w:rPr>
                <w:rFonts w:ascii="Arial" w:hAnsi="Arial" w:cs="Arial"/>
                <w:color w:val="000000"/>
                <w:sz w:val="20"/>
                <w:szCs w:val="20"/>
              </w:rPr>
              <w:t xml:space="preserve">Learner research using textbooks and internet. </w:t>
            </w:r>
            <w:r w:rsidRPr="009231DF">
              <w:rPr>
                <w:rFonts w:ascii="Arial" w:hAnsi="Arial" w:cs="Arial"/>
                <w:b/>
                <w:color w:val="000000"/>
                <w:sz w:val="20"/>
                <w:szCs w:val="20"/>
              </w:rPr>
              <w:t xml:space="preserve">(I) (H) </w:t>
            </w:r>
          </w:p>
          <w:p w:rsidR="009231DF" w:rsidRPr="009231DF" w:rsidRDefault="009231DF" w:rsidP="009231DF">
            <w:pPr>
              <w:pStyle w:val="Default"/>
              <w:numPr>
                <w:ilvl w:val="0"/>
                <w:numId w:val="15"/>
              </w:numPr>
              <w:spacing w:after="0" w:line="240" w:lineRule="auto"/>
              <w:rPr>
                <w:sz w:val="20"/>
                <w:szCs w:val="20"/>
              </w:rPr>
            </w:pPr>
            <w:r w:rsidRPr="009231DF">
              <w:rPr>
                <w:sz w:val="20"/>
                <w:szCs w:val="20"/>
              </w:rPr>
              <w:t xml:space="preserve">Discussion: </w:t>
            </w:r>
            <w:r w:rsidRPr="009231DF">
              <w:rPr>
                <w:i/>
                <w:sz w:val="20"/>
                <w:szCs w:val="20"/>
              </w:rPr>
              <w:t>Was there anything special or different about anti-Semitism and racism in Germany compared with other countries?</w:t>
            </w:r>
            <w:r w:rsidRPr="009231DF">
              <w:rPr>
                <w:sz w:val="20"/>
                <w:szCs w:val="20"/>
              </w:rPr>
              <w:t xml:space="preserve"> </w:t>
            </w:r>
            <w:r w:rsidRPr="009231DF">
              <w:rPr>
                <w:b/>
                <w:sz w:val="20"/>
                <w:szCs w:val="20"/>
              </w:rPr>
              <w:t>(W) (G)</w:t>
            </w:r>
          </w:p>
          <w:p w:rsidR="009231DF" w:rsidRPr="009231DF" w:rsidRDefault="009231DF" w:rsidP="009231DF">
            <w:pPr>
              <w:pStyle w:val="Default"/>
              <w:numPr>
                <w:ilvl w:val="0"/>
                <w:numId w:val="15"/>
              </w:numPr>
              <w:spacing w:after="0" w:line="240" w:lineRule="auto"/>
              <w:rPr>
                <w:b/>
                <w:sz w:val="20"/>
                <w:szCs w:val="20"/>
              </w:rPr>
            </w:pPr>
            <w:r w:rsidRPr="009231DF">
              <w:rPr>
                <w:sz w:val="20"/>
                <w:szCs w:val="20"/>
              </w:rPr>
              <w:t xml:space="preserve">Debate: learners prepare and present arguments on the following issue - </w:t>
            </w:r>
            <w:r w:rsidRPr="009231DF">
              <w:rPr>
                <w:i/>
                <w:sz w:val="20"/>
                <w:szCs w:val="20"/>
              </w:rPr>
              <w:t xml:space="preserve">How far did events </w:t>
            </w:r>
            <w:r w:rsidRPr="009231DF">
              <w:rPr>
                <w:i/>
                <w:sz w:val="20"/>
                <w:szCs w:val="20"/>
              </w:rPr>
              <w:lastRenderedPageBreak/>
              <w:t>and developments in German history before World War 1 show that the preconditions for the Holocaust already existed?</w:t>
            </w:r>
            <w:r w:rsidRPr="009231DF">
              <w:rPr>
                <w:sz w:val="20"/>
                <w:szCs w:val="20"/>
              </w:rPr>
              <w:t xml:space="preserve"> </w:t>
            </w:r>
            <w:r w:rsidRPr="009231DF">
              <w:rPr>
                <w:b/>
                <w:sz w:val="20"/>
                <w:szCs w:val="20"/>
              </w:rPr>
              <w:t>(W) (G)</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lastRenderedPageBreak/>
              <w:t>Textbooks</w:t>
            </w:r>
          </w:p>
          <w:p w:rsidR="009231DF" w:rsidRPr="009231DF" w:rsidRDefault="009231DF" w:rsidP="009231DF">
            <w:pPr>
              <w:pStyle w:val="ListParagraph"/>
              <w:numPr>
                <w:ilvl w:val="0"/>
                <w:numId w:val="15"/>
              </w:numPr>
              <w:rPr>
                <w:rFonts w:cs="Arial"/>
              </w:rPr>
            </w:pPr>
            <w:r w:rsidRPr="009231DF">
              <w:rPr>
                <w:rFonts w:cs="Arial"/>
              </w:rPr>
              <w:t>Farmer pp14–27</w:t>
            </w:r>
          </w:p>
          <w:p w:rsidR="009231DF" w:rsidRPr="009231DF" w:rsidRDefault="009231DF" w:rsidP="009231DF">
            <w:pPr>
              <w:pStyle w:val="ListParagraph"/>
              <w:numPr>
                <w:ilvl w:val="0"/>
                <w:numId w:val="15"/>
              </w:numPr>
              <w:rPr>
                <w:rFonts w:cs="Arial"/>
              </w:rPr>
            </w:pPr>
            <w:r w:rsidRPr="009231DF">
              <w:rPr>
                <w:rFonts w:cs="Arial"/>
              </w:rPr>
              <w:t>Neville pp4–12</w:t>
            </w:r>
          </w:p>
          <w:p w:rsidR="009231DF" w:rsidRPr="009231DF" w:rsidRDefault="009231DF" w:rsidP="009231DF">
            <w:pPr>
              <w:pStyle w:val="ListParagraph"/>
              <w:numPr>
                <w:ilvl w:val="0"/>
                <w:numId w:val="15"/>
              </w:numPr>
              <w:tabs>
                <w:tab w:val="left" w:pos="2325"/>
              </w:tabs>
              <w:rPr>
                <w:rFonts w:cs="Arial"/>
              </w:rPr>
            </w:pPr>
            <w:r w:rsidRPr="009231DF">
              <w:rPr>
                <w:rFonts w:cs="Arial"/>
              </w:rPr>
              <w:t>Hull</w:t>
            </w:r>
          </w:p>
        </w:tc>
      </w:tr>
      <w:tr w:rsidR="009231DF" w:rsidRPr="009231DF" w:rsidTr="009231DF">
        <w:trPr>
          <w:trHeight w:val="1222"/>
        </w:trPr>
        <w:tc>
          <w:tcPr>
            <w:tcW w:w="2694"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lastRenderedPageBreak/>
              <w:t>Nazi anti-Semitism and persecution of the Jews, 1933–41</w:t>
            </w:r>
          </w:p>
        </w:tc>
        <w:tc>
          <w:tcPr>
            <w:tcW w:w="8505"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Introduction: watch</w:t>
            </w:r>
            <w:r w:rsidRPr="009231DF">
              <w:rPr>
                <w:rFonts w:cs="Arial"/>
                <w:i/>
                <w:color w:val="000000"/>
              </w:rPr>
              <w:t xml:space="preserve"> A Warning from History, episode 2 – Chaos and Consent</w:t>
            </w:r>
            <w:r w:rsidRPr="009231DF">
              <w:rPr>
                <w:rFonts w:cs="Arial"/>
                <w:color w:val="000000"/>
              </w:rPr>
              <w:t xml:space="preserve"> on the nature of the Nazi regime. </w:t>
            </w:r>
            <w:r w:rsidRPr="009231DF">
              <w:rPr>
                <w:rFonts w:cs="Arial"/>
                <w:b/>
                <w:color w:val="000000"/>
              </w:rPr>
              <w:t>(W)</w:t>
            </w:r>
          </w:p>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Learners to work in pairs/small groups researching the following topics: </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color w:val="000000"/>
              </w:rPr>
              <w:t xml:space="preserve">Hitler’s anti-Semitism, </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color w:val="000000"/>
              </w:rPr>
              <w:t xml:space="preserve">Mein </w:t>
            </w:r>
            <w:proofErr w:type="spellStart"/>
            <w:r w:rsidRPr="009231DF">
              <w:rPr>
                <w:rFonts w:cs="Arial"/>
                <w:color w:val="000000"/>
              </w:rPr>
              <w:t>Kampf</w:t>
            </w:r>
            <w:proofErr w:type="spellEnd"/>
            <w:r w:rsidRPr="009231DF">
              <w:rPr>
                <w:rFonts w:cs="Arial"/>
                <w:color w:val="000000"/>
              </w:rPr>
              <w:t xml:space="preserve"> and lebensraum, </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color w:val="000000"/>
              </w:rPr>
              <w:t xml:space="preserve">Nazi policies towards the Jews and other minorities after 1933, </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color w:val="000000"/>
              </w:rPr>
              <w:t xml:space="preserve">Nuremberg Laws, </w:t>
            </w:r>
          </w:p>
          <w:p w:rsidR="009231DF" w:rsidRPr="009231DF" w:rsidRDefault="009231DF" w:rsidP="009231DF">
            <w:pPr>
              <w:pStyle w:val="ListParagraph"/>
              <w:numPr>
                <w:ilvl w:val="1"/>
                <w:numId w:val="15"/>
              </w:numPr>
              <w:autoSpaceDE w:val="0"/>
              <w:autoSpaceDN w:val="0"/>
              <w:adjustRightInd w:val="0"/>
              <w:rPr>
                <w:rFonts w:cs="Arial"/>
                <w:color w:val="000000"/>
              </w:rPr>
            </w:pPr>
            <w:proofErr w:type="spellStart"/>
            <w:r w:rsidRPr="009231DF">
              <w:rPr>
                <w:rFonts w:cs="Arial"/>
                <w:color w:val="000000"/>
              </w:rPr>
              <w:t>Kristallnacht</w:t>
            </w:r>
            <w:proofErr w:type="spellEnd"/>
            <w:r w:rsidRPr="009231DF">
              <w:rPr>
                <w:rFonts w:cs="Arial"/>
                <w:color w:val="000000"/>
              </w:rPr>
              <w:t xml:space="preserve">. </w:t>
            </w:r>
          </w:p>
          <w:p w:rsidR="009231DF" w:rsidRPr="009231DF" w:rsidRDefault="009231DF" w:rsidP="00860746">
            <w:pPr>
              <w:pStyle w:val="ListParagraph"/>
              <w:autoSpaceDE w:val="0"/>
              <w:autoSpaceDN w:val="0"/>
              <w:adjustRightInd w:val="0"/>
              <w:ind w:left="170"/>
              <w:rPr>
                <w:rFonts w:cs="Arial"/>
                <w:color w:val="000000"/>
              </w:rPr>
            </w:pPr>
            <w:r w:rsidRPr="009231DF">
              <w:rPr>
                <w:rFonts w:cs="Arial"/>
                <w:color w:val="000000"/>
              </w:rPr>
              <w:t xml:space="preserve">Learners should prepare a presentation for the class on their allocated topic. </w:t>
            </w:r>
            <w:r w:rsidRPr="009231DF">
              <w:rPr>
                <w:rFonts w:cs="Arial"/>
                <w:b/>
                <w:color w:val="000000"/>
              </w:rPr>
              <w:t>(G) (P)</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Learners to deliver presentations and class to take notes. </w:t>
            </w:r>
            <w:r w:rsidRPr="009231DF">
              <w:rPr>
                <w:rFonts w:cs="Arial"/>
                <w:b/>
                <w:color w:val="000000"/>
              </w:rPr>
              <w:t>(W)</w:t>
            </w:r>
          </w:p>
          <w:p w:rsidR="009231DF" w:rsidRPr="009231DF" w:rsidRDefault="009231DF" w:rsidP="009231DF">
            <w:pPr>
              <w:pStyle w:val="Default"/>
              <w:widowControl w:val="0"/>
              <w:numPr>
                <w:ilvl w:val="0"/>
                <w:numId w:val="15"/>
              </w:numPr>
              <w:spacing w:after="0" w:line="240" w:lineRule="auto"/>
              <w:rPr>
                <w:sz w:val="20"/>
                <w:szCs w:val="20"/>
              </w:rPr>
            </w:pPr>
            <w:r w:rsidRPr="009231DF">
              <w:rPr>
                <w:color w:val="auto"/>
                <w:sz w:val="20"/>
                <w:szCs w:val="20"/>
              </w:rPr>
              <w:t xml:space="preserve">Discussion: </w:t>
            </w:r>
            <w:r w:rsidRPr="009231DF">
              <w:rPr>
                <w:i/>
                <w:color w:val="auto"/>
                <w:sz w:val="20"/>
                <w:szCs w:val="20"/>
              </w:rPr>
              <w:t>Was</w:t>
            </w:r>
            <w:r w:rsidRPr="009231DF">
              <w:rPr>
                <w:color w:val="auto"/>
                <w:sz w:val="20"/>
                <w:szCs w:val="20"/>
              </w:rPr>
              <w:t xml:space="preserve"> </w:t>
            </w:r>
            <w:r w:rsidRPr="009231DF">
              <w:rPr>
                <w:i/>
                <w:color w:val="auto"/>
                <w:sz w:val="20"/>
                <w:szCs w:val="20"/>
              </w:rPr>
              <w:t>it clear all along that Hitler intended to exterminate the Jews?</w:t>
            </w:r>
            <w:r w:rsidRPr="009231DF">
              <w:rPr>
                <w:color w:val="auto"/>
                <w:sz w:val="20"/>
                <w:szCs w:val="20"/>
              </w:rPr>
              <w:t xml:space="preserve"> </w:t>
            </w:r>
            <w:r w:rsidRPr="009231DF">
              <w:rPr>
                <w:b/>
                <w:color w:val="auto"/>
                <w:sz w:val="20"/>
                <w:szCs w:val="20"/>
              </w:rPr>
              <w:t>(W) (G)</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9231DF">
            <w:pPr>
              <w:pStyle w:val="ListParagraph"/>
              <w:numPr>
                <w:ilvl w:val="0"/>
                <w:numId w:val="15"/>
              </w:numPr>
              <w:rPr>
                <w:rFonts w:cs="Arial"/>
              </w:rPr>
            </w:pPr>
            <w:r w:rsidRPr="009231DF">
              <w:rPr>
                <w:rFonts w:cs="Arial"/>
              </w:rPr>
              <w:t>Farmer pp31–45 (on the nature of the Nazi state)</w:t>
            </w:r>
          </w:p>
          <w:p w:rsidR="009231DF" w:rsidRPr="009231DF" w:rsidRDefault="009231DF" w:rsidP="009231DF">
            <w:pPr>
              <w:pStyle w:val="ListParagraph"/>
              <w:numPr>
                <w:ilvl w:val="0"/>
                <w:numId w:val="15"/>
              </w:numPr>
              <w:rPr>
                <w:rFonts w:cs="Arial"/>
              </w:rPr>
            </w:pPr>
            <w:r w:rsidRPr="009231DF">
              <w:rPr>
                <w:rFonts w:cs="Arial"/>
              </w:rPr>
              <w:t>Farmer pp48–68 (on Nazi anti-Semitic policy to 1939)</w:t>
            </w:r>
          </w:p>
          <w:p w:rsidR="009231DF" w:rsidRPr="009231DF" w:rsidRDefault="009231DF" w:rsidP="009231DF">
            <w:pPr>
              <w:pStyle w:val="ListParagraph"/>
              <w:numPr>
                <w:ilvl w:val="0"/>
                <w:numId w:val="15"/>
              </w:numPr>
              <w:rPr>
                <w:rFonts w:cs="Arial"/>
              </w:rPr>
            </w:pPr>
            <w:r w:rsidRPr="009231DF">
              <w:rPr>
                <w:rFonts w:cs="Arial"/>
              </w:rPr>
              <w:t>Neville pp15–35</w:t>
            </w:r>
          </w:p>
          <w:p w:rsidR="009231DF" w:rsidRPr="009231DF" w:rsidRDefault="009231DF" w:rsidP="00860746">
            <w:pPr>
              <w:rPr>
                <w:rFonts w:ascii="Arial" w:hAnsi="Arial" w:cs="Arial"/>
                <w:sz w:val="20"/>
                <w:szCs w:val="20"/>
              </w:rPr>
            </w:pPr>
          </w:p>
          <w:p w:rsidR="009231DF" w:rsidRPr="009231DF" w:rsidRDefault="009231DF" w:rsidP="00860746">
            <w:pPr>
              <w:rPr>
                <w:rFonts w:ascii="Arial" w:hAnsi="Arial" w:cs="Arial"/>
                <w:b/>
                <w:sz w:val="20"/>
                <w:szCs w:val="20"/>
              </w:rPr>
            </w:pPr>
            <w:r w:rsidRPr="009231DF">
              <w:rPr>
                <w:rFonts w:ascii="Arial" w:hAnsi="Arial" w:cs="Arial"/>
                <w:b/>
                <w:sz w:val="20"/>
                <w:szCs w:val="20"/>
              </w:rPr>
              <w:t>DVD</w:t>
            </w:r>
          </w:p>
          <w:p w:rsidR="009231DF" w:rsidRPr="009231DF" w:rsidRDefault="009231DF" w:rsidP="009231DF">
            <w:pPr>
              <w:pStyle w:val="ListParagraph"/>
              <w:numPr>
                <w:ilvl w:val="0"/>
                <w:numId w:val="15"/>
              </w:numPr>
              <w:rPr>
                <w:rFonts w:cs="Arial"/>
                <w:i/>
              </w:rPr>
            </w:pPr>
            <w:r w:rsidRPr="009231DF">
              <w:rPr>
                <w:rFonts w:cs="Arial"/>
                <w:i/>
              </w:rPr>
              <w:t>A Warning from History, episode 2 – Chaos and Consent</w:t>
            </w:r>
          </w:p>
        </w:tc>
      </w:tr>
      <w:tr w:rsidR="009231DF" w:rsidRPr="009231DF" w:rsidTr="009231DF">
        <w:trPr>
          <w:trHeight w:val="113"/>
        </w:trPr>
        <w:tc>
          <w:tcPr>
            <w:tcW w:w="2694"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t>The impact of war on Nazi policy towards the Jews</w:t>
            </w:r>
          </w:p>
        </w:tc>
        <w:tc>
          <w:tcPr>
            <w:tcW w:w="8505"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Introduction: watch</w:t>
            </w:r>
            <w:r w:rsidRPr="009231DF">
              <w:rPr>
                <w:rFonts w:cs="Arial"/>
                <w:i/>
                <w:color w:val="000000"/>
              </w:rPr>
              <w:t xml:space="preserve"> A Warning from History, episode 4 –The Wild East</w:t>
            </w:r>
            <w:r w:rsidRPr="009231DF">
              <w:rPr>
                <w:rFonts w:cs="Arial"/>
                <w:color w:val="000000"/>
              </w:rPr>
              <w:t xml:space="preserve"> </w:t>
            </w:r>
            <w:r w:rsidRPr="009231DF">
              <w:rPr>
                <w:rFonts w:cs="Arial"/>
                <w:b/>
                <w:color w:val="000000"/>
              </w:rPr>
              <w:t>(W).</w:t>
            </w:r>
            <w:r w:rsidRPr="009231DF">
              <w:rPr>
                <w:rFonts w:cs="Arial"/>
                <w:color w:val="000000"/>
              </w:rPr>
              <w:t xml:space="preserve"> </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Learners to complete a timeline of events focusing on Nazi racial policy and invasion and conquest of Eastern Europe. </w:t>
            </w:r>
            <w:r w:rsidRPr="009231DF">
              <w:rPr>
                <w:rFonts w:cs="Arial"/>
                <w:b/>
                <w:color w:val="000000"/>
              </w:rPr>
              <w:t>(I)</w:t>
            </w:r>
            <w:r w:rsidRPr="009231DF">
              <w:rPr>
                <w:rFonts w:cs="Arial"/>
                <w:color w:val="000000"/>
              </w:rPr>
              <w:t xml:space="preserve"> </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Teacher-led discussion on the following topics: </w:t>
            </w:r>
          </w:p>
          <w:p w:rsidR="009231DF" w:rsidRPr="009231DF" w:rsidRDefault="009231DF" w:rsidP="009231DF">
            <w:pPr>
              <w:pStyle w:val="ListParagraph"/>
              <w:numPr>
                <w:ilvl w:val="1"/>
                <w:numId w:val="15"/>
              </w:numPr>
              <w:autoSpaceDE w:val="0"/>
              <w:autoSpaceDN w:val="0"/>
              <w:adjustRightInd w:val="0"/>
              <w:rPr>
                <w:rFonts w:cs="Arial"/>
                <w:b/>
                <w:color w:val="000000"/>
              </w:rPr>
            </w:pPr>
            <w:r w:rsidRPr="009231DF">
              <w:rPr>
                <w:rFonts w:cs="Arial"/>
                <w:i/>
                <w:color w:val="000000"/>
              </w:rPr>
              <w:t>Radicalisation of Nazi racial policy</w:t>
            </w:r>
          </w:p>
          <w:p w:rsidR="009231DF" w:rsidRPr="009231DF" w:rsidRDefault="009231DF" w:rsidP="009231DF">
            <w:pPr>
              <w:pStyle w:val="ListParagraph"/>
              <w:numPr>
                <w:ilvl w:val="1"/>
                <w:numId w:val="15"/>
              </w:numPr>
              <w:autoSpaceDE w:val="0"/>
              <w:autoSpaceDN w:val="0"/>
              <w:adjustRightInd w:val="0"/>
              <w:rPr>
                <w:rFonts w:cs="Arial"/>
                <w:b/>
                <w:color w:val="000000"/>
              </w:rPr>
            </w:pPr>
            <w:r w:rsidRPr="009231DF">
              <w:rPr>
                <w:rFonts w:cs="Arial"/>
                <w:i/>
                <w:color w:val="000000"/>
              </w:rPr>
              <w:t>Invasion and conquest of Eastern Europe – impact on local populations: violence, upheaval, slave labour</w:t>
            </w:r>
          </w:p>
          <w:p w:rsidR="009231DF" w:rsidRPr="009231DF" w:rsidRDefault="009231DF" w:rsidP="00860746">
            <w:pPr>
              <w:pStyle w:val="ListParagraph"/>
              <w:autoSpaceDE w:val="0"/>
              <w:autoSpaceDN w:val="0"/>
              <w:adjustRightInd w:val="0"/>
              <w:ind w:left="170"/>
              <w:rPr>
                <w:rFonts w:cs="Arial"/>
                <w:b/>
                <w:color w:val="000000"/>
              </w:rPr>
            </w:pPr>
            <w:r w:rsidRPr="009231DF">
              <w:rPr>
                <w:rFonts w:cs="Arial"/>
                <w:color w:val="000000"/>
              </w:rPr>
              <w:t xml:space="preserve">Learners to identify these topics on their timelines, possibly colour coding factors, such as violence/upheaval, etc. Then they should consider when key changes of policy came into effect and why. </w:t>
            </w:r>
            <w:r w:rsidRPr="009231DF">
              <w:rPr>
                <w:rFonts w:cs="Arial"/>
                <w:b/>
                <w:color w:val="000000"/>
              </w:rPr>
              <w:t>(W) (I)</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Additional learner research using textbooks and internet as required. </w:t>
            </w:r>
            <w:r w:rsidRPr="009231DF">
              <w:rPr>
                <w:rFonts w:cs="Arial"/>
                <w:b/>
                <w:color w:val="000000"/>
              </w:rPr>
              <w:t xml:space="preserve">(I) (H) </w:t>
            </w:r>
          </w:p>
          <w:p w:rsidR="009231DF" w:rsidRPr="009231DF" w:rsidRDefault="009231DF" w:rsidP="009231DF">
            <w:pPr>
              <w:pStyle w:val="Default"/>
              <w:numPr>
                <w:ilvl w:val="0"/>
                <w:numId w:val="15"/>
              </w:numPr>
              <w:spacing w:after="0" w:line="240" w:lineRule="auto"/>
              <w:rPr>
                <w:b/>
                <w:sz w:val="20"/>
                <w:szCs w:val="20"/>
              </w:rPr>
            </w:pPr>
            <w:r w:rsidRPr="009231DF">
              <w:rPr>
                <w:color w:val="auto"/>
                <w:sz w:val="20"/>
                <w:szCs w:val="20"/>
              </w:rPr>
              <w:t xml:space="preserve">Discussion: </w:t>
            </w:r>
            <w:r w:rsidRPr="009231DF">
              <w:rPr>
                <w:i/>
                <w:color w:val="auto"/>
                <w:sz w:val="20"/>
                <w:szCs w:val="20"/>
              </w:rPr>
              <w:t>How and why did the invasion and conquest of Poland make Nazi racial policies more extreme?</w:t>
            </w:r>
            <w:r w:rsidRPr="009231DF">
              <w:rPr>
                <w:color w:val="auto"/>
                <w:sz w:val="20"/>
                <w:szCs w:val="20"/>
              </w:rPr>
              <w:t xml:space="preserve"> </w:t>
            </w:r>
            <w:r w:rsidRPr="009231DF">
              <w:rPr>
                <w:b/>
                <w:color w:val="auto"/>
                <w:sz w:val="20"/>
                <w:szCs w:val="20"/>
              </w:rPr>
              <w:t>(W) (G)</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9231DF">
            <w:pPr>
              <w:pStyle w:val="ListParagraph"/>
              <w:numPr>
                <w:ilvl w:val="0"/>
                <w:numId w:val="15"/>
              </w:numPr>
              <w:rPr>
                <w:rFonts w:cs="Arial"/>
              </w:rPr>
            </w:pPr>
            <w:r w:rsidRPr="009231DF">
              <w:rPr>
                <w:rFonts w:cs="Arial"/>
              </w:rPr>
              <w:t>Farmer pp72–84</w:t>
            </w:r>
          </w:p>
          <w:p w:rsidR="009231DF" w:rsidRPr="009231DF" w:rsidRDefault="009231DF" w:rsidP="009231DF">
            <w:pPr>
              <w:pStyle w:val="ListParagraph"/>
              <w:numPr>
                <w:ilvl w:val="0"/>
                <w:numId w:val="15"/>
              </w:numPr>
              <w:rPr>
                <w:rFonts w:cs="Arial"/>
              </w:rPr>
            </w:pPr>
            <w:r w:rsidRPr="009231DF">
              <w:rPr>
                <w:rFonts w:cs="Arial"/>
              </w:rPr>
              <w:t>Neville pp35–39</w:t>
            </w:r>
          </w:p>
          <w:p w:rsidR="009231DF" w:rsidRPr="009231DF" w:rsidRDefault="009231DF" w:rsidP="00860746">
            <w:pPr>
              <w:rPr>
                <w:rFonts w:ascii="Arial" w:hAnsi="Arial" w:cs="Arial"/>
                <w:sz w:val="20"/>
                <w:szCs w:val="20"/>
              </w:rPr>
            </w:pPr>
          </w:p>
          <w:p w:rsidR="009231DF" w:rsidRPr="009231DF" w:rsidRDefault="009231DF" w:rsidP="00860746">
            <w:pPr>
              <w:rPr>
                <w:rFonts w:ascii="Arial" w:hAnsi="Arial" w:cs="Arial"/>
                <w:b/>
                <w:sz w:val="20"/>
                <w:szCs w:val="20"/>
              </w:rPr>
            </w:pPr>
            <w:r w:rsidRPr="009231DF">
              <w:rPr>
                <w:rFonts w:ascii="Arial" w:hAnsi="Arial" w:cs="Arial"/>
                <w:b/>
                <w:sz w:val="20"/>
                <w:szCs w:val="20"/>
              </w:rPr>
              <w:t>DVD</w:t>
            </w:r>
          </w:p>
          <w:p w:rsidR="009231DF" w:rsidRPr="009231DF" w:rsidRDefault="009231DF" w:rsidP="009231DF">
            <w:pPr>
              <w:pStyle w:val="ListParagraph"/>
              <w:numPr>
                <w:ilvl w:val="0"/>
                <w:numId w:val="15"/>
              </w:numPr>
              <w:rPr>
                <w:rFonts w:cs="Arial"/>
                <w:i/>
              </w:rPr>
            </w:pPr>
            <w:r w:rsidRPr="009231DF">
              <w:rPr>
                <w:rFonts w:cs="Arial"/>
                <w:i/>
              </w:rPr>
              <w:t>A Warning from History, episode 4 –The Wild East</w:t>
            </w:r>
          </w:p>
        </w:tc>
      </w:tr>
      <w:tr w:rsidR="009231DF" w:rsidRPr="009231DF" w:rsidTr="009231DF">
        <w:trPr>
          <w:trHeight w:val="112"/>
        </w:trPr>
        <w:tc>
          <w:tcPr>
            <w:tcW w:w="2694" w:type="dxa"/>
          </w:tcPr>
          <w:p w:rsidR="009231DF" w:rsidRPr="009231DF" w:rsidRDefault="009231DF" w:rsidP="00860746">
            <w:pPr>
              <w:autoSpaceDE w:val="0"/>
              <w:autoSpaceDN w:val="0"/>
              <w:adjustRightInd w:val="0"/>
              <w:rPr>
                <w:rFonts w:ascii="Arial" w:hAnsi="Arial" w:cs="Arial"/>
                <w:sz w:val="20"/>
                <w:szCs w:val="20"/>
              </w:rPr>
            </w:pPr>
            <w:proofErr w:type="spellStart"/>
            <w:r w:rsidRPr="009231DF">
              <w:rPr>
                <w:rFonts w:ascii="Arial" w:hAnsi="Arial" w:cs="Arial"/>
                <w:sz w:val="20"/>
                <w:szCs w:val="20"/>
              </w:rPr>
              <w:t>Ghettoisation</w:t>
            </w:r>
            <w:proofErr w:type="spellEnd"/>
            <w:r w:rsidRPr="009231DF">
              <w:rPr>
                <w:rFonts w:ascii="Arial" w:hAnsi="Arial" w:cs="Arial"/>
                <w:sz w:val="20"/>
                <w:szCs w:val="20"/>
              </w:rPr>
              <w:t xml:space="preserve"> and Jewish responses to the Holocaust</w:t>
            </w:r>
          </w:p>
        </w:tc>
        <w:tc>
          <w:tcPr>
            <w:tcW w:w="8505"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Several of the films show clear representations of life in the ghetto, which would be useful here, but you should consider suitability for your particular classes.</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Teacher-led introductions on the following topics: </w:t>
            </w:r>
            <w:r w:rsidRPr="009231DF">
              <w:rPr>
                <w:rFonts w:cs="Arial"/>
                <w:b/>
                <w:color w:val="000000"/>
              </w:rPr>
              <w:t>(W)</w:t>
            </w:r>
          </w:p>
          <w:p w:rsidR="009231DF" w:rsidRPr="009231DF" w:rsidRDefault="009231DF" w:rsidP="009231DF">
            <w:pPr>
              <w:pStyle w:val="ListParagraph"/>
              <w:numPr>
                <w:ilvl w:val="1"/>
                <w:numId w:val="15"/>
              </w:numPr>
              <w:autoSpaceDE w:val="0"/>
              <w:autoSpaceDN w:val="0"/>
              <w:adjustRightInd w:val="0"/>
              <w:rPr>
                <w:rFonts w:cs="Arial"/>
                <w:b/>
                <w:color w:val="000000"/>
              </w:rPr>
            </w:pPr>
            <w:r w:rsidRPr="009231DF">
              <w:rPr>
                <w:rFonts w:cs="Arial"/>
                <w:i/>
                <w:color w:val="000000"/>
              </w:rPr>
              <w:t xml:space="preserve">creation of ghettoes, </w:t>
            </w:r>
          </w:p>
          <w:p w:rsidR="009231DF" w:rsidRPr="009231DF" w:rsidRDefault="009231DF" w:rsidP="009231DF">
            <w:pPr>
              <w:pStyle w:val="ListParagraph"/>
              <w:numPr>
                <w:ilvl w:val="1"/>
                <w:numId w:val="15"/>
              </w:numPr>
              <w:autoSpaceDE w:val="0"/>
              <w:autoSpaceDN w:val="0"/>
              <w:adjustRightInd w:val="0"/>
              <w:rPr>
                <w:rFonts w:cs="Arial"/>
                <w:b/>
                <w:color w:val="000000"/>
              </w:rPr>
            </w:pPr>
            <w:r w:rsidRPr="009231DF">
              <w:rPr>
                <w:rFonts w:cs="Arial"/>
                <w:i/>
                <w:color w:val="000000"/>
              </w:rPr>
              <w:lastRenderedPageBreak/>
              <w:t xml:space="preserve">conditions within the ghettoes, </w:t>
            </w:r>
          </w:p>
          <w:p w:rsidR="009231DF" w:rsidRPr="009231DF" w:rsidRDefault="009231DF" w:rsidP="009231DF">
            <w:pPr>
              <w:pStyle w:val="ListParagraph"/>
              <w:numPr>
                <w:ilvl w:val="1"/>
                <w:numId w:val="15"/>
              </w:numPr>
              <w:autoSpaceDE w:val="0"/>
              <w:autoSpaceDN w:val="0"/>
              <w:adjustRightInd w:val="0"/>
              <w:rPr>
                <w:rFonts w:cs="Arial"/>
                <w:b/>
                <w:color w:val="000000"/>
              </w:rPr>
            </w:pPr>
            <w:proofErr w:type="gramStart"/>
            <w:r w:rsidRPr="009231DF">
              <w:rPr>
                <w:rFonts w:cs="Arial"/>
                <w:i/>
                <w:color w:val="000000"/>
              </w:rPr>
              <w:t>extent</w:t>
            </w:r>
            <w:proofErr w:type="gramEnd"/>
            <w:r w:rsidRPr="009231DF">
              <w:rPr>
                <w:rFonts w:cs="Arial"/>
                <w:i/>
                <w:color w:val="000000"/>
              </w:rPr>
              <w:t xml:space="preserve"> of Jewish resistance and nature of resistance</w:t>
            </w:r>
            <w:r w:rsidRPr="009231DF">
              <w:rPr>
                <w:rFonts w:cs="Arial"/>
                <w:color w:val="000000"/>
              </w:rPr>
              <w:t>.</w:t>
            </w:r>
            <w:r w:rsidRPr="009231DF">
              <w:rPr>
                <w:rFonts w:cs="Arial"/>
                <w:b/>
                <w:color w:val="000000"/>
              </w:rPr>
              <w:t xml:space="preserve"> </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Learners should now work on researching each topic above. This could be done by creating three different work stations, each work station containing information on one of the topics. You will need to create a pack of information resources and sources for learners to work through, giving learners a set amount of time at each work station. </w:t>
            </w:r>
            <w:r w:rsidRPr="009231DF">
              <w:rPr>
                <w:rFonts w:cs="Arial"/>
                <w:b/>
                <w:color w:val="000000"/>
              </w:rPr>
              <w:t>(I) (H)</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Discussion: </w:t>
            </w:r>
            <w:r w:rsidRPr="009231DF">
              <w:rPr>
                <w:rFonts w:cs="Arial"/>
                <w:i/>
                <w:color w:val="000000"/>
              </w:rPr>
              <w:t>Why was there relatively little violent resistance to the Holocaust by the Jews?</w:t>
            </w:r>
            <w:r w:rsidRPr="009231DF">
              <w:rPr>
                <w:rFonts w:cs="Arial"/>
                <w:color w:val="000000"/>
              </w:rPr>
              <w:t xml:space="preserve"> </w:t>
            </w:r>
            <w:r w:rsidRPr="009231DF">
              <w:rPr>
                <w:rFonts w:cs="Arial"/>
                <w:b/>
              </w:rPr>
              <w:t>(W) (G)</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Debate: </w:t>
            </w:r>
            <w:r w:rsidRPr="009231DF">
              <w:rPr>
                <w:i/>
                <w:color w:val="auto"/>
                <w:sz w:val="20"/>
                <w:szCs w:val="20"/>
              </w:rPr>
              <w:t>‘The only meaningful form of resistance to the Holocaust was to fight back’</w:t>
            </w:r>
            <w:r w:rsidRPr="009231DF">
              <w:rPr>
                <w:color w:val="auto"/>
                <w:sz w:val="20"/>
                <w:szCs w:val="20"/>
              </w:rPr>
              <w:t xml:space="preserve">. Learners are divided into two groups (Yes/No) to prepare and present arguments. </w:t>
            </w:r>
            <w:r w:rsidRPr="009231DF">
              <w:rPr>
                <w:b/>
                <w:color w:val="auto"/>
                <w:sz w:val="20"/>
                <w:szCs w:val="20"/>
              </w:rPr>
              <w:t>(W) (G) (H)</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lastRenderedPageBreak/>
              <w:t>Textbooks</w:t>
            </w:r>
          </w:p>
          <w:p w:rsidR="009231DF" w:rsidRPr="009231DF" w:rsidRDefault="009231DF" w:rsidP="009231DF">
            <w:pPr>
              <w:pStyle w:val="ListParagraph"/>
              <w:numPr>
                <w:ilvl w:val="0"/>
                <w:numId w:val="15"/>
              </w:numPr>
              <w:rPr>
                <w:rFonts w:cs="Arial"/>
              </w:rPr>
            </w:pPr>
            <w:r w:rsidRPr="009231DF">
              <w:rPr>
                <w:rFonts w:cs="Arial"/>
              </w:rPr>
              <w:t>Farmer pp84–9, pp150–5</w:t>
            </w:r>
          </w:p>
          <w:p w:rsidR="009231DF" w:rsidRPr="009231DF" w:rsidRDefault="009231DF" w:rsidP="009231DF">
            <w:pPr>
              <w:pStyle w:val="ListParagraph"/>
              <w:numPr>
                <w:ilvl w:val="0"/>
                <w:numId w:val="15"/>
              </w:numPr>
              <w:rPr>
                <w:rFonts w:cs="Arial"/>
              </w:rPr>
            </w:pPr>
            <w:r w:rsidRPr="009231DF">
              <w:rPr>
                <w:rFonts w:cs="Arial"/>
              </w:rPr>
              <w:t>Neville pp52–6</w:t>
            </w:r>
          </w:p>
          <w:p w:rsidR="009231DF" w:rsidRPr="009231DF" w:rsidRDefault="009231DF" w:rsidP="00860746">
            <w:pPr>
              <w:rPr>
                <w:rFonts w:ascii="Arial" w:hAnsi="Arial" w:cs="Arial"/>
                <w:b/>
                <w:sz w:val="20"/>
                <w:szCs w:val="20"/>
              </w:rPr>
            </w:pPr>
          </w:p>
          <w:p w:rsidR="009231DF" w:rsidRPr="009231DF" w:rsidRDefault="009231DF" w:rsidP="00860746">
            <w:pPr>
              <w:rPr>
                <w:rFonts w:ascii="Arial" w:hAnsi="Arial" w:cs="Arial"/>
                <w:b/>
                <w:sz w:val="20"/>
                <w:szCs w:val="20"/>
              </w:rPr>
            </w:pPr>
            <w:r w:rsidRPr="009231DF">
              <w:rPr>
                <w:rFonts w:ascii="Arial" w:hAnsi="Arial" w:cs="Arial"/>
                <w:b/>
                <w:sz w:val="20"/>
                <w:szCs w:val="20"/>
              </w:rPr>
              <w:lastRenderedPageBreak/>
              <w:t>DVD</w:t>
            </w:r>
          </w:p>
          <w:p w:rsidR="009231DF" w:rsidRPr="009231DF" w:rsidRDefault="009231DF" w:rsidP="00860746">
            <w:pPr>
              <w:rPr>
                <w:rFonts w:ascii="Arial" w:hAnsi="Arial" w:cs="Arial"/>
                <w:sz w:val="20"/>
                <w:szCs w:val="20"/>
              </w:rPr>
            </w:pPr>
            <w:r w:rsidRPr="009231DF">
              <w:rPr>
                <w:rFonts w:ascii="Arial" w:hAnsi="Arial" w:cs="Arial"/>
                <w:sz w:val="20"/>
                <w:szCs w:val="20"/>
              </w:rPr>
              <w:t xml:space="preserve">Feature films, e.g. </w:t>
            </w:r>
          </w:p>
          <w:p w:rsidR="009231DF" w:rsidRPr="009231DF" w:rsidRDefault="009231DF" w:rsidP="009231DF">
            <w:pPr>
              <w:pStyle w:val="ListParagraph"/>
              <w:numPr>
                <w:ilvl w:val="0"/>
                <w:numId w:val="15"/>
              </w:numPr>
              <w:rPr>
                <w:rFonts w:cs="Arial"/>
              </w:rPr>
            </w:pPr>
            <w:r w:rsidRPr="009231DF">
              <w:rPr>
                <w:rFonts w:cs="Arial"/>
                <w:i/>
              </w:rPr>
              <w:t>Schindler’s List</w:t>
            </w:r>
          </w:p>
        </w:tc>
      </w:tr>
      <w:tr w:rsidR="009231DF" w:rsidRPr="009231DF" w:rsidTr="009231DF">
        <w:trPr>
          <w:trHeight w:val="112"/>
        </w:trPr>
        <w:tc>
          <w:tcPr>
            <w:tcW w:w="2694" w:type="dxa"/>
          </w:tcPr>
          <w:p w:rsidR="009231DF" w:rsidRPr="009231DF" w:rsidRDefault="009231DF" w:rsidP="00860746">
            <w:pPr>
              <w:rPr>
                <w:rFonts w:ascii="Arial" w:hAnsi="Arial" w:cs="Arial"/>
                <w:sz w:val="20"/>
                <w:szCs w:val="20"/>
              </w:rPr>
            </w:pPr>
            <w:r w:rsidRPr="009231DF">
              <w:rPr>
                <w:rFonts w:ascii="Arial" w:hAnsi="Arial" w:cs="Arial"/>
                <w:sz w:val="20"/>
                <w:szCs w:val="20"/>
              </w:rPr>
              <w:lastRenderedPageBreak/>
              <w:t>The development of Nazi extermination policies towards Jews and other minorities</w:t>
            </w:r>
          </w:p>
        </w:tc>
        <w:tc>
          <w:tcPr>
            <w:tcW w:w="8505"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Introduction: watch </w:t>
            </w:r>
            <w:r w:rsidRPr="009231DF">
              <w:rPr>
                <w:rFonts w:cs="Arial"/>
                <w:i/>
                <w:color w:val="000000"/>
              </w:rPr>
              <w:t>A Warning from History, episode 5 – The Road to Treblinka</w:t>
            </w:r>
            <w:r w:rsidRPr="009231DF">
              <w:rPr>
                <w:rFonts w:cs="Arial"/>
                <w:color w:val="000000"/>
              </w:rPr>
              <w:t xml:space="preserve"> </w:t>
            </w:r>
            <w:r w:rsidRPr="009231DF">
              <w:rPr>
                <w:rFonts w:cs="Arial"/>
                <w:b/>
                <w:color w:val="000000"/>
              </w:rPr>
              <w:t>(W)</w:t>
            </w:r>
            <w:r w:rsidRPr="009231DF">
              <w:rPr>
                <w:rFonts w:cs="Arial"/>
                <w:color w:val="000000"/>
              </w:rPr>
              <w:t xml:space="preserve">. </w:t>
            </w:r>
          </w:p>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Teacher-led introductions on the following topics: </w:t>
            </w:r>
            <w:r w:rsidRPr="009231DF">
              <w:rPr>
                <w:rFonts w:cs="Arial"/>
                <w:b/>
                <w:color w:val="000000"/>
              </w:rPr>
              <w:t>(W)</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i/>
                <w:color w:val="000000"/>
              </w:rPr>
              <w:t>Impact of Operation Barbarossa</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i/>
                <w:color w:val="000000"/>
              </w:rPr>
              <w:t>Moves towards genocide</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i/>
                <w:color w:val="000000"/>
              </w:rPr>
              <w:t>First experiments in mass murder using gas</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i/>
                <w:color w:val="000000"/>
              </w:rPr>
              <w:t>development of extermination camps</w:t>
            </w:r>
          </w:p>
          <w:p w:rsidR="009231DF" w:rsidRPr="009231DF" w:rsidRDefault="009231DF" w:rsidP="009231DF">
            <w:pPr>
              <w:pStyle w:val="ListParagraph"/>
              <w:numPr>
                <w:ilvl w:val="1"/>
                <w:numId w:val="15"/>
              </w:numPr>
              <w:autoSpaceDE w:val="0"/>
              <w:autoSpaceDN w:val="0"/>
              <w:adjustRightInd w:val="0"/>
              <w:rPr>
                <w:rFonts w:cs="Arial"/>
                <w:color w:val="000000"/>
              </w:rPr>
            </w:pPr>
            <w:r w:rsidRPr="009231DF">
              <w:rPr>
                <w:rFonts w:cs="Arial"/>
                <w:i/>
                <w:color w:val="000000"/>
              </w:rPr>
              <w:t>Impact on other minorities</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Learner research using textbooks and internet. </w:t>
            </w:r>
            <w:r w:rsidRPr="009231DF">
              <w:rPr>
                <w:rFonts w:cs="Arial"/>
                <w:b/>
                <w:color w:val="000000"/>
              </w:rPr>
              <w:t>(I) (H)</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Debate: </w:t>
            </w:r>
            <w:r w:rsidRPr="009231DF">
              <w:rPr>
                <w:i/>
                <w:color w:val="auto"/>
                <w:sz w:val="20"/>
                <w:szCs w:val="20"/>
              </w:rPr>
              <w:t>‘Those who carried out the killing during the Holocaust were uniquely evil people’.</w:t>
            </w:r>
            <w:r w:rsidRPr="009231DF">
              <w:rPr>
                <w:color w:val="auto"/>
                <w:sz w:val="20"/>
                <w:szCs w:val="20"/>
              </w:rPr>
              <w:t xml:space="preserve"> Learners are divided into two groups (Yes/No) to prepare and present arguments. </w:t>
            </w:r>
            <w:r w:rsidRPr="009231DF">
              <w:rPr>
                <w:b/>
                <w:color w:val="auto"/>
                <w:sz w:val="20"/>
                <w:szCs w:val="20"/>
              </w:rPr>
              <w:t>(W) (G) (H)</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9231DF">
            <w:pPr>
              <w:pStyle w:val="ListParagraph"/>
              <w:numPr>
                <w:ilvl w:val="0"/>
                <w:numId w:val="15"/>
              </w:numPr>
              <w:rPr>
                <w:rFonts w:cs="Arial"/>
              </w:rPr>
            </w:pPr>
            <w:r w:rsidRPr="009231DF">
              <w:rPr>
                <w:rFonts w:cs="Arial"/>
              </w:rPr>
              <w:t xml:space="preserve">Farmer pp89–98, pp101–136 </w:t>
            </w:r>
          </w:p>
          <w:p w:rsidR="009231DF" w:rsidRPr="009231DF" w:rsidRDefault="009231DF" w:rsidP="009231DF">
            <w:pPr>
              <w:pStyle w:val="ListParagraph"/>
              <w:numPr>
                <w:ilvl w:val="0"/>
                <w:numId w:val="15"/>
              </w:numPr>
              <w:rPr>
                <w:rFonts w:cs="Arial"/>
              </w:rPr>
            </w:pPr>
            <w:r w:rsidRPr="009231DF">
              <w:rPr>
                <w:rFonts w:cs="Arial"/>
              </w:rPr>
              <w:t>Neville pp39–52</w:t>
            </w:r>
          </w:p>
          <w:p w:rsidR="009231DF" w:rsidRPr="009231DF" w:rsidRDefault="009231DF" w:rsidP="00860746">
            <w:pPr>
              <w:pStyle w:val="ListParagraph"/>
              <w:ind w:left="170"/>
              <w:rPr>
                <w:rFonts w:cs="Arial"/>
              </w:rPr>
            </w:pPr>
          </w:p>
          <w:p w:rsidR="009231DF" w:rsidRPr="009231DF" w:rsidRDefault="009231DF" w:rsidP="00860746">
            <w:pPr>
              <w:rPr>
                <w:rFonts w:ascii="Arial" w:hAnsi="Arial" w:cs="Arial"/>
                <w:b/>
                <w:sz w:val="20"/>
                <w:szCs w:val="20"/>
              </w:rPr>
            </w:pPr>
            <w:r w:rsidRPr="009231DF">
              <w:rPr>
                <w:rFonts w:ascii="Arial" w:hAnsi="Arial" w:cs="Arial"/>
                <w:b/>
                <w:sz w:val="20"/>
                <w:szCs w:val="20"/>
              </w:rPr>
              <w:t>DVD</w:t>
            </w:r>
          </w:p>
          <w:p w:rsidR="009231DF" w:rsidRPr="009231DF" w:rsidRDefault="009231DF" w:rsidP="009231DF">
            <w:pPr>
              <w:pStyle w:val="ListParagraph"/>
              <w:numPr>
                <w:ilvl w:val="0"/>
                <w:numId w:val="15"/>
              </w:numPr>
              <w:rPr>
                <w:rFonts w:cs="Arial"/>
              </w:rPr>
            </w:pPr>
            <w:r w:rsidRPr="009231DF">
              <w:rPr>
                <w:rFonts w:cs="Arial"/>
                <w:i/>
              </w:rPr>
              <w:t>A Warning from History, episode 5 – The Road to Treblinka</w:t>
            </w:r>
          </w:p>
        </w:tc>
      </w:tr>
      <w:tr w:rsidR="009231DF" w:rsidRPr="009231DF" w:rsidTr="009231DF">
        <w:trPr>
          <w:trHeight w:val="133"/>
        </w:trPr>
        <w:tc>
          <w:tcPr>
            <w:tcW w:w="2694" w:type="dxa"/>
          </w:tcPr>
          <w:p w:rsidR="009231DF" w:rsidRPr="009231DF" w:rsidRDefault="009231DF" w:rsidP="00860746">
            <w:pPr>
              <w:rPr>
                <w:rFonts w:ascii="Arial" w:hAnsi="Arial" w:cs="Arial"/>
                <w:sz w:val="20"/>
                <w:szCs w:val="20"/>
              </w:rPr>
            </w:pPr>
            <w:r w:rsidRPr="009231DF">
              <w:rPr>
                <w:rFonts w:ascii="Arial" w:hAnsi="Arial" w:cs="Arial"/>
                <w:sz w:val="20"/>
                <w:szCs w:val="20"/>
              </w:rPr>
              <w:t>Contemporary reactions to the Holocaust</w:t>
            </w:r>
          </w:p>
        </w:tc>
        <w:tc>
          <w:tcPr>
            <w:tcW w:w="8505" w:type="dxa"/>
          </w:tcPr>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Teacher-led introduction on the following question: </w:t>
            </w:r>
            <w:r w:rsidRPr="009231DF">
              <w:rPr>
                <w:rFonts w:cs="Arial"/>
                <w:i/>
                <w:color w:val="000000"/>
              </w:rPr>
              <w:t xml:space="preserve">Were the Allies right to have reacted to the Holocaust as they did? </w:t>
            </w:r>
            <w:r w:rsidRPr="009231DF">
              <w:rPr>
                <w:rFonts w:cs="Arial"/>
                <w:b/>
                <w:color w:val="000000"/>
              </w:rPr>
              <w:t>(W)</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Learners to research the following topics: </w:t>
            </w:r>
          </w:p>
          <w:p w:rsidR="009231DF" w:rsidRPr="009231DF" w:rsidRDefault="009231DF" w:rsidP="009231DF">
            <w:pPr>
              <w:pStyle w:val="ListParagraph"/>
              <w:numPr>
                <w:ilvl w:val="1"/>
                <w:numId w:val="15"/>
              </w:numPr>
              <w:autoSpaceDE w:val="0"/>
              <w:autoSpaceDN w:val="0"/>
              <w:adjustRightInd w:val="0"/>
              <w:rPr>
                <w:rFonts w:cs="Arial"/>
                <w:b/>
                <w:i/>
                <w:color w:val="000000"/>
              </w:rPr>
            </w:pPr>
            <w:r w:rsidRPr="009231DF">
              <w:rPr>
                <w:rFonts w:cs="Arial"/>
                <w:i/>
                <w:color w:val="000000"/>
              </w:rPr>
              <w:t xml:space="preserve">Extent to which others knew of the Holocaust at the time. </w:t>
            </w:r>
          </w:p>
          <w:p w:rsidR="009231DF" w:rsidRPr="009231DF" w:rsidRDefault="009231DF" w:rsidP="009231DF">
            <w:pPr>
              <w:pStyle w:val="ListParagraph"/>
              <w:numPr>
                <w:ilvl w:val="1"/>
                <w:numId w:val="15"/>
              </w:numPr>
              <w:autoSpaceDE w:val="0"/>
              <w:autoSpaceDN w:val="0"/>
              <w:adjustRightInd w:val="0"/>
              <w:rPr>
                <w:rFonts w:cs="Arial"/>
                <w:b/>
                <w:i/>
                <w:color w:val="000000"/>
              </w:rPr>
            </w:pPr>
            <w:r w:rsidRPr="009231DF">
              <w:rPr>
                <w:rFonts w:cs="Arial"/>
                <w:i/>
                <w:color w:val="000000"/>
              </w:rPr>
              <w:t xml:space="preserve">How did they react and what explains their reactions? </w:t>
            </w:r>
          </w:p>
          <w:p w:rsidR="009231DF" w:rsidRPr="009231DF" w:rsidRDefault="009231DF" w:rsidP="00860746">
            <w:pPr>
              <w:pStyle w:val="ListParagraph"/>
              <w:autoSpaceDE w:val="0"/>
              <w:autoSpaceDN w:val="0"/>
              <w:adjustRightInd w:val="0"/>
              <w:ind w:left="170"/>
              <w:rPr>
                <w:rFonts w:cs="Arial"/>
                <w:b/>
                <w:color w:val="000000"/>
              </w:rPr>
            </w:pPr>
            <w:r w:rsidRPr="009231DF">
              <w:rPr>
                <w:rFonts w:cs="Arial"/>
                <w:color w:val="000000"/>
              </w:rPr>
              <w:t xml:space="preserve">Learners then use their research to prepare a presentation to the class, in pairs, in answer to the above question. </w:t>
            </w:r>
            <w:r w:rsidRPr="009231DF">
              <w:rPr>
                <w:rFonts w:cs="Arial"/>
                <w:b/>
                <w:color w:val="000000"/>
              </w:rPr>
              <w:t>(P) (I)</w:t>
            </w:r>
          </w:p>
          <w:p w:rsidR="009231DF" w:rsidRPr="009231DF" w:rsidRDefault="009231DF" w:rsidP="009231DF">
            <w:pPr>
              <w:pStyle w:val="Default"/>
              <w:numPr>
                <w:ilvl w:val="0"/>
                <w:numId w:val="15"/>
              </w:numPr>
              <w:spacing w:after="0" w:line="240" w:lineRule="auto"/>
              <w:rPr>
                <w:b/>
                <w:sz w:val="20"/>
                <w:szCs w:val="20"/>
              </w:rPr>
            </w:pPr>
            <w:r w:rsidRPr="009231DF">
              <w:rPr>
                <w:color w:val="auto"/>
                <w:sz w:val="20"/>
                <w:szCs w:val="20"/>
              </w:rPr>
              <w:t xml:space="preserve">Pairs to prepare and present arguments. </w:t>
            </w:r>
            <w:r w:rsidRPr="009231DF">
              <w:rPr>
                <w:b/>
                <w:color w:val="auto"/>
                <w:sz w:val="20"/>
                <w:szCs w:val="20"/>
              </w:rPr>
              <w:t>(W) (P)</w:t>
            </w:r>
          </w:p>
        </w:tc>
        <w:tc>
          <w:tcPr>
            <w:tcW w:w="3402"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9231DF">
            <w:pPr>
              <w:pStyle w:val="ListParagraph"/>
              <w:numPr>
                <w:ilvl w:val="0"/>
                <w:numId w:val="15"/>
              </w:numPr>
              <w:rPr>
                <w:rFonts w:cs="Arial"/>
              </w:rPr>
            </w:pPr>
            <w:r w:rsidRPr="009231DF">
              <w:rPr>
                <w:rFonts w:cs="Arial"/>
              </w:rPr>
              <w:t>Farmer pp145–50, pp155–8</w:t>
            </w:r>
          </w:p>
          <w:p w:rsidR="009231DF" w:rsidRPr="009231DF" w:rsidRDefault="009231DF" w:rsidP="009231DF">
            <w:pPr>
              <w:pStyle w:val="ListParagraph"/>
              <w:numPr>
                <w:ilvl w:val="0"/>
                <w:numId w:val="15"/>
              </w:numPr>
              <w:rPr>
                <w:rFonts w:cs="Arial"/>
              </w:rPr>
            </w:pPr>
            <w:r w:rsidRPr="009231DF">
              <w:rPr>
                <w:rFonts w:cs="Arial"/>
              </w:rPr>
              <w:t>Neville pp59–66</w:t>
            </w:r>
          </w:p>
        </w:tc>
      </w:tr>
    </w:tbl>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1"/>
          <w:footerReference w:type="first" r:id="rId22"/>
          <w:pgSz w:w="16840" w:h="11900" w:orient="landscape" w:code="9"/>
          <w:pgMar w:top="1127" w:right="1440" w:bottom="1797" w:left="1440" w:header="0" w:footer="470" w:gutter="0"/>
          <w:cols w:space="708"/>
          <w:titlePg/>
        </w:sectPr>
      </w:pPr>
    </w:p>
    <w:bookmarkStart w:id="11" w:name="_Toc443639047"/>
    <w:p w:rsidR="00554812" w:rsidRPr="009231DF" w:rsidRDefault="009231DF" w:rsidP="009231DF">
      <w:pPr>
        <w:pStyle w:val="Heading1"/>
      </w:pPr>
      <w:r w:rsidRPr="009231DF">
        <w:lastRenderedPageBreak/>
        <w:fldChar w:fldCharType="begin"/>
      </w:r>
      <w:r w:rsidRPr="009231DF">
        <w:instrText xml:space="preserve"> HYPERLINK  \l "_Contents" </w:instrText>
      </w:r>
      <w:r w:rsidRPr="009231DF">
        <w:fldChar w:fldCharType="separate"/>
      </w:r>
      <w:r w:rsidRPr="009231DF">
        <w:rPr>
          <w:rStyle w:val="Hyperlink"/>
          <w:color w:val="C30045"/>
          <w:u w:val="none"/>
        </w:rPr>
        <w:t>Part B: Historian’s interpretations</w:t>
      </w:r>
      <w:bookmarkEnd w:id="11"/>
      <w:r w:rsidRPr="009231DF">
        <w:fldChar w:fldCharType="end"/>
      </w:r>
    </w:p>
    <w:p w:rsidR="009231DF" w:rsidRPr="009231DF" w:rsidRDefault="009231DF" w:rsidP="009231DF">
      <w:pPr>
        <w:spacing w:before="120" w:after="120"/>
        <w:ind w:left="-567"/>
        <w:jc w:val="both"/>
        <w:rPr>
          <w:rFonts w:ascii="Arial" w:hAnsi="Arial" w:cs="Arial"/>
          <w:sz w:val="20"/>
          <w:szCs w:val="20"/>
        </w:rPr>
      </w:pPr>
      <w:r w:rsidRPr="009231DF">
        <w:rPr>
          <w:rFonts w:ascii="Arial" w:hAnsi="Arial" w:cs="Arial"/>
          <w:sz w:val="20"/>
          <w:szCs w:val="20"/>
        </w:rPr>
        <w:t>Learners need to explore the following issues through the interpretations and approaches of different historians:</w:t>
      </w:r>
    </w:p>
    <w:p w:rsidR="009231DF" w:rsidRPr="009231DF" w:rsidRDefault="009231DF" w:rsidP="009231DF">
      <w:pPr>
        <w:pStyle w:val="ListParagraph"/>
        <w:numPr>
          <w:ilvl w:val="0"/>
          <w:numId w:val="16"/>
        </w:numPr>
        <w:spacing w:before="120" w:after="120"/>
        <w:ind w:left="-142"/>
        <w:contextualSpacing w:val="0"/>
        <w:jc w:val="both"/>
        <w:rPr>
          <w:rFonts w:cs="Arial"/>
          <w:b/>
          <w:i/>
        </w:rPr>
      </w:pPr>
      <w:r w:rsidRPr="009231DF">
        <w:rPr>
          <w:rFonts w:cs="Arial"/>
          <w:b/>
          <w:i/>
        </w:rPr>
        <w:t>Why did the Holocaust happen?</w:t>
      </w:r>
    </w:p>
    <w:p w:rsidR="009231DF" w:rsidRPr="009231DF" w:rsidRDefault="009231DF" w:rsidP="009231DF">
      <w:pPr>
        <w:pStyle w:val="ListParagraph"/>
        <w:numPr>
          <w:ilvl w:val="0"/>
          <w:numId w:val="16"/>
        </w:numPr>
        <w:spacing w:before="120" w:after="120"/>
        <w:ind w:left="-142"/>
        <w:contextualSpacing w:val="0"/>
        <w:jc w:val="both"/>
        <w:rPr>
          <w:rFonts w:cs="Arial"/>
          <w:b/>
          <w:i/>
        </w:rPr>
      </w:pPr>
      <w:r w:rsidRPr="009231DF">
        <w:rPr>
          <w:rFonts w:cs="Arial"/>
          <w:b/>
          <w:i/>
        </w:rPr>
        <w:t>How did the Holocaust happen?</w:t>
      </w:r>
    </w:p>
    <w:p w:rsidR="009231DF" w:rsidRPr="009231DF" w:rsidRDefault="009231DF" w:rsidP="009231DF">
      <w:pPr>
        <w:pStyle w:val="ListParagraph"/>
        <w:numPr>
          <w:ilvl w:val="0"/>
          <w:numId w:val="16"/>
        </w:numPr>
        <w:spacing w:before="120" w:after="120"/>
        <w:ind w:left="-142"/>
        <w:contextualSpacing w:val="0"/>
        <w:jc w:val="both"/>
        <w:rPr>
          <w:rFonts w:cs="Arial"/>
          <w:b/>
        </w:rPr>
      </w:pPr>
      <w:r w:rsidRPr="009231DF">
        <w:rPr>
          <w:rFonts w:cs="Arial"/>
          <w:b/>
          <w:i/>
        </w:rPr>
        <w:t>What were the reactions of different groups of people to the Holocaust?</w:t>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410"/>
        <w:gridCol w:w="8647"/>
        <w:gridCol w:w="3544"/>
      </w:tblGrid>
      <w:tr w:rsidR="009231DF" w:rsidRPr="009231DF" w:rsidTr="009231DF">
        <w:trPr>
          <w:tblHeader/>
        </w:trPr>
        <w:tc>
          <w:tcPr>
            <w:tcW w:w="14601" w:type="dxa"/>
            <w:gridSpan w:val="3"/>
            <w:tcBorders>
              <w:top w:val="single" w:sz="4" w:space="0" w:color="auto"/>
              <w:left w:val="single" w:sz="4" w:space="0" w:color="auto"/>
              <w:right w:val="single" w:sz="4" w:space="0" w:color="auto"/>
            </w:tcBorders>
            <w:shd w:val="clear" w:color="auto" w:fill="auto"/>
            <w:vAlign w:val="center"/>
          </w:tcPr>
          <w:p w:rsidR="009231DF" w:rsidRPr="009231DF" w:rsidRDefault="009231DF" w:rsidP="009231DF">
            <w:pPr>
              <w:pStyle w:val="Heading2"/>
              <w:spacing w:before="0"/>
              <w:jc w:val="center"/>
              <w:rPr>
                <w:color w:val="FFFFFF"/>
              </w:rPr>
            </w:pPr>
            <w:bookmarkStart w:id="12" w:name="_Toc441140284"/>
            <w:r w:rsidRPr="009231DF">
              <w:rPr>
                <w:color w:val="C00000"/>
              </w:rPr>
              <w:t>Key question: How have historians of the Holocaust differed in their interpretations and approaches?</w:t>
            </w:r>
            <w:bookmarkEnd w:id="12"/>
          </w:p>
        </w:tc>
      </w:tr>
      <w:tr w:rsidR="009231DF" w:rsidRPr="009231DF" w:rsidTr="009231DF">
        <w:trPr>
          <w:tblHeader/>
        </w:trPr>
        <w:tc>
          <w:tcPr>
            <w:tcW w:w="2410"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 xml:space="preserve">Key </w:t>
            </w:r>
            <w:r w:rsidRPr="009231DF">
              <w:rPr>
                <w:rFonts w:ascii="Arial" w:hAnsi="Arial" w:cs="Arial"/>
                <w:b/>
                <w:bCs/>
                <w:color w:val="FFFFFF"/>
                <w:sz w:val="20"/>
                <w:szCs w:val="20"/>
              </w:rPr>
              <w:t>approaches</w:t>
            </w:r>
          </w:p>
        </w:tc>
        <w:tc>
          <w:tcPr>
            <w:tcW w:w="8647"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Suggested teaching activities</w:t>
            </w:r>
          </w:p>
        </w:tc>
        <w:tc>
          <w:tcPr>
            <w:tcW w:w="3544" w:type="dxa"/>
            <w:shd w:val="clear" w:color="auto" w:fill="C30045"/>
            <w:vAlign w:val="center"/>
          </w:tcPr>
          <w:p w:rsidR="009231DF" w:rsidRPr="009231DF" w:rsidRDefault="009231DF" w:rsidP="00860746">
            <w:pPr>
              <w:rPr>
                <w:rFonts w:ascii="Arial" w:hAnsi="Arial" w:cs="Arial"/>
                <w:b/>
                <w:color w:val="FFFFFF"/>
                <w:sz w:val="20"/>
                <w:szCs w:val="20"/>
              </w:rPr>
            </w:pPr>
            <w:r w:rsidRPr="009231DF">
              <w:rPr>
                <w:rFonts w:ascii="Arial" w:hAnsi="Arial" w:cs="Arial"/>
                <w:b/>
                <w:color w:val="FFFFFF"/>
                <w:sz w:val="20"/>
                <w:szCs w:val="20"/>
              </w:rPr>
              <w:t>Learning resources</w:t>
            </w:r>
          </w:p>
        </w:tc>
      </w:tr>
      <w:tr w:rsidR="009231DF" w:rsidRPr="009231DF" w:rsidTr="009231DF">
        <w:trPr>
          <w:trHeight w:val="133"/>
        </w:trPr>
        <w:tc>
          <w:tcPr>
            <w:tcW w:w="2410"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t>Introduction to interpretations on the Holocaust</w:t>
            </w:r>
          </w:p>
        </w:tc>
        <w:tc>
          <w:tcPr>
            <w:tcW w:w="8647" w:type="dxa"/>
          </w:tcPr>
          <w:p w:rsidR="009231DF" w:rsidRPr="009231DF" w:rsidRDefault="009231DF" w:rsidP="009231DF">
            <w:pPr>
              <w:pStyle w:val="ListParagraph"/>
              <w:numPr>
                <w:ilvl w:val="0"/>
                <w:numId w:val="15"/>
              </w:numPr>
              <w:rPr>
                <w:rFonts w:cs="Arial"/>
              </w:rPr>
            </w:pPr>
            <w:r w:rsidRPr="009231DF">
              <w:rPr>
                <w:rFonts w:cs="Arial"/>
              </w:rPr>
              <w:t xml:space="preserve">Learners are given two extracts from historians’ writings about the same aspect of the Holocaust, e.g. </w:t>
            </w:r>
          </w:p>
          <w:p w:rsidR="009231DF" w:rsidRPr="009231DF" w:rsidRDefault="009231DF" w:rsidP="009231DF">
            <w:pPr>
              <w:pStyle w:val="ListParagraph"/>
              <w:numPr>
                <w:ilvl w:val="1"/>
                <w:numId w:val="15"/>
              </w:numPr>
              <w:rPr>
                <w:rFonts w:cs="Arial"/>
              </w:rPr>
            </w:pPr>
            <w:r w:rsidRPr="009231DF">
              <w:rPr>
                <w:rFonts w:cs="Arial"/>
                <w:i/>
              </w:rPr>
              <w:t>Hitler’s role</w:t>
            </w:r>
            <w:r w:rsidRPr="009231DF">
              <w:rPr>
                <w:rFonts w:cs="Arial"/>
              </w:rPr>
              <w:t xml:space="preserve">, </w:t>
            </w:r>
          </w:p>
          <w:p w:rsidR="009231DF" w:rsidRPr="009231DF" w:rsidRDefault="009231DF" w:rsidP="009231DF">
            <w:pPr>
              <w:pStyle w:val="ListParagraph"/>
              <w:numPr>
                <w:ilvl w:val="1"/>
                <w:numId w:val="15"/>
              </w:numPr>
              <w:rPr>
                <w:rFonts w:cs="Arial"/>
              </w:rPr>
            </w:pPr>
            <w:r w:rsidRPr="009231DF">
              <w:rPr>
                <w:rFonts w:cs="Arial"/>
                <w:i/>
              </w:rPr>
              <w:t>actions of perpetrators</w:t>
            </w:r>
            <w:r w:rsidRPr="009231DF">
              <w:rPr>
                <w:rFonts w:cs="Arial"/>
              </w:rPr>
              <w:t xml:space="preserve">, </w:t>
            </w:r>
          </w:p>
          <w:p w:rsidR="009231DF" w:rsidRPr="009231DF" w:rsidRDefault="009231DF" w:rsidP="009231DF">
            <w:pPr>
              <w:pStyle w:val="ListParagraph"/>
              <w:numPr>
                <w:ilvl w:val="1"/>
                <w:numId w:val="15"/>
              </w:numPr>
              <w:rPr>
                <w:rFonts w:cs="Arial"/>
              </w:rPr>
            </w:pPr>
            <w:proofErr w:type="gramStart"/>
            <w:r w:rsidRPr="009231DF">
              <w:rPr>
                <w:rFonts w:cs="Arial"/>
                <w:i/>
              </w:rPr>
              <w:t>reactions</w:t>
            </w:r>
            <w:proofErr w:type="gramEnd"/>
            <w:r w:rsidRPr="009231DF">
              <w:rPr>
                <w:rFonts w:cs="Arial"/>
                <w:i/>
              </w:rPr>
              <w:t xml:space="preserve"> of victims</w:t>
            </w:r>
            <w:r w:rsidRPr="009231DF">
              <w:rPr>
                <w:rFonts w:cs="Arial"/>
              </w:rPr>
              <w:t xml:space="preserve">. </w:t>
            </w:r>
          </w:p>
          <w:p w:rsidR="009231DF" w:rsidRPr="009231DF" w:rsidRDefault="009231DF" w:rsidP="00860746">
            <w:pPr>
              <w:pStyle w:val="ListParagraph"/>
              <w:ind w:left="170"/>
              <w:rPr>
                <w:rFonts w:cs="Arial"/>
              </w:rPr>
            </w:pPr>
            <w:r w:rsidRPr="009231DF">
              <w:rPr>
                <w:rFonts w:cs="Arial"/>
              </w:rPr>
              <w:t xml:space="preserve">It is vital that these two extracts should give sharply contrasting interpretations of the events. As a homework task, learners are asked to identify the differences between the extracts. </w:t>
            </w:r>
            <w:r w:rsidRPr="009231DF">
              <w:rPr>
                <w:rFonts w:cs="Arial"/>
                <w:b/>
              </w:rPr>
              <w:t>(H)</w:t>
            </w:r>
          </w:p>
          <w:p w:rsidR="009231DF" w:rsidRPr="009231DF" w:rsidRDefault="009231DF" w:rsidP="009231DF">
            <w:pPr>
              <w:pStyle w:val="ListParagraph"/>
              <w:numPr>
                <w:ilvl w:val="0"/>
                <w:numId w:val="15"/>
              </w:numPr>
              <w:rPr>
                <w:rFonts w:cs="Arial"/>
              </w:rPr>
            </w:pPr>
            <w:r w:rsidRPr="009231DF">
              <w:rPr>
                <w:rFonts w:cs="Arial"/>
              </w:rPr>
              <w:t xml:space="preserve">In class, these differences can be collated and classified </w:t>
            </w:r>
          </w:p>
          <w:p w:rsidR="009231DF" w:rsidRPr="009231DF" w:rsidRDefault="009231DF" w:rsidP="009231DF">
            <w:pPr>
              <w:pStyle w:val="ListParagraph"/>
              <w:numPr>
                <w:ilvl w:val="1"/>
                <w:numId w:val="15"/>
              </w:numPr>
              <w:rPr>
                <w:rFonts w:cs="Arial"/>
              </w:rPr>
            </w:pPr>
            <w:r w:rsidRPr="009231DF">
              <w:rPr>
                <w:rFonts w:cs="Arial"/>
              </w:rPr>
              <w:t xml:space="preserve">which are points of </w:t>
            </w:r>
            <w:r w:rsidRPr="009231DF">
              <w:rPr>
                <w:rFonts w:cs="Arial"/>
                <w:i/>
              </w:rPr>
              <w:t>detail</w:t>
            </w:r>
            <w:r w:rsidRPr="009231DF">
              <w:rPr>
                <w:rFonts w:cs="Arial"/>
              </w:rPr>
              <w:t xml:space="preserve">, </w:t>
            </w:r>
          </w:p>
          <w:p w:rsidR="009231DF" w:rsidRPr="009231DF" w:rsidRDefault="009231DF" w:rsidP="009231DF">
            <w:pPr>
              <w:pStyle w:val="ListParagraph"/>
              <w:numPr>
                <w:ilvl w:val="1"/>
                <w:numId w:val="15"/>
              </w:numPr>
              <w:rPr>
                <w:rFonts w:cs="Arial"/>
              </w:rPr>
            </w:pPr>
            <w:r w:rsidRPr="009231DF">
              <w:rPr>
                <w:rFonts w:cs="Arial"/>
              </w:rPr>
              <w:t xml:space="preserve">which are points of </w:t>
            </w:r>
            <w:r w:rsidRPr="009231DF">
              <w:rPr>
                <w:rFonts w:cs="Arial"/>
                <w:i/>
              </w:rPr>
              <w:t>argument</w:t>
            </w:r>
            <w:r w:rsidRPr="009231DF">
              <w:rPr>
                <w:rFonts w:cs="Arial"/>
              </w:rPr>
              <w:t xml:space="preserve"> (i.e. interpretative points, but not sufficient in themselves to identify the historian’s overall interpretation), </w:t>
            </w:r>
          </w:p>
          <w:p w:rsidR="009231DF" w:rsidRPr="009231DF" w:rsidRDefault="009231DF" w:rsidP="009231DF">
            <w:pPr>
              <w:pStyle w:val="ListParagraph"/>
              <w:numPr>
                <w:ilvl w:val="1"/>
                <w:numId w:val="15"/>
              </w:numPr>
              <w:rPr>
                <w:rFonts w:cs="Arial"/>
              </w:rPr>
            </w:pPr>
            <w:proofErr w:type="gramStart"/>
            <w:r w:rsidRPr="009231DF">
              <w:rPr>
                <w:rFonts w:cs="Arial"/>
              </w:rPr>
              <w:t>and</w:t>
            </w:r>
            <w:proofErr w:type="gramEnd"/>
            <w:r w:rsidRPr="009231DF">
              <w:rPr>
                <w:rFonts w:cs="Arial"/>
              </w:rPr>
              <w:t xml:space="preserve"> finally </w:t>
            </w:r>
            <w:r w:rsidRPr="009231DF">
              <w:rPr>
                <w:rFonts w:cs="Arial"/>
                <w:i/>
              </w:rPr>
              <w:t>the essential difference in the interpretation</w:t>
            </w:r>
            <w:r w:rsidRPr="009231DF">
              <w:rPr>
                <w:rFonts w:cs="Arial"/>
              </w:rPr>
              <w:t xml:space="preserve"> as a whole. </w:t>
            </w:r>
          </w:p>
          <w:p w:rsidR="009231DF" w:rsidRPr="009231DF" w:rsidRDefault="009231DF" w:rsidP="00860746">
            <w:pPr>
              <w:pStyle w:val="ListParagraph"/>
              <w:ind w:left="170"/>
              <w:rPr>
                <w:rFonts w:cs="Arial"/>
              </w:rPr>
            </w:pPr>
            <w:r w:rsidRPr="009231DF">
              <w:rPr>
                <w:rFonts w:cs="Arial"/>
              </w:rPr>
              <w:t xml:space="preserve">The ability to distinguish the qualitative differences between these points is fundamental to the assessment of this component, and should be underlined by you at every opportunity. </w:t>
            </w:r>
            <w:r w:rsidRPr="009231DF">
              <w:rPr>
                <w:rFonts w:cs="Arial"/>
                <w:b/>
              </w:rPr>
              <w:t>(W)</w:t>
            </w:r>
          </w:p>
          <w:p w:rsidR="009231DF" w:rsidRPr="009231DF" w:rsidRDefault="009231DF" w:rsidP="009231DF">
            <w:pPr>
              <w:pStyle w:val="ListParagraph"/>
              <w:numPr>
                <w:ilvl w:val="0"/>
                <w:numId w:val="15"/>
              </w:numPr>
              <w:rPr>
                <w:rFonts w:cs="Arial"/>
              </w:rPr>
            </w:pPr>
            <w:r w:rsidRPr="009231DF">
              <w:rPr>
                <w:rFonts w:cs="Arial"/>
              </w:rPr>
              <w:t xml:space="preserve">In groups, learners can consider the question </w:t>
            </w:r>
            <w:r w:rsidRPr="009231DF">
              <w:rPr>
                <w:rFonts w:cs="Arial"/>
                <w:i/>
              </w:rPr>
              <w:t>‘What reasons might there be for the differences in these two interpretations of the same aspect of the Holocaust?’</w:t>
            </w:r>
            <w:r w:rsidRPr="009231DF">
              <w:rPr>
                <w:rFonts w:cs="Arial"/>
              </w:rPr>
              <w:t xml:space="preserve">, and prepare five-minute presentations of their conclusions. </w:t>
            </w:r>
            <w:r w:rsidRPr="009231DF">
              <w:rPr>
                <w:rFonts w:cs="Arial"/>
                <w:b/>
              </w:rPr>
              <w:t>(W) (G)</w:t>
            </w:r>
          </w:p>
          <w:p w:rsidR="009231DF" w:rsidRPr="009231DF" w:rsidRDefault="009231DF" w:rsidP="009231DF">
            <w:pPr>
              <w:pStyle w:val="ListParagraph"/>
              <w:numPr>
                <w:ilvl w:val="0"/>
                <w:numId w:val="15"/>
              </w:numPr>
              <w:rPr>
                <w:rFonts w:cs="Arial"/>
              </w:rPr>
            </w:pPr>
            <w:r w:rsidRPr="009231DF">
              <w:rPr>
                <w:rFonts w:cs="Arial"/>
              </w:rPr>
              <w:t xml:space="preserve">You will want to ensure that discussion of these presentations covers the following issues (as appropriate to the extracts chosen): </w:t>
            </w:r>
          </w:p>
          <w:p w:rsidR="009231DF" w:rsidRPr="009231DF" w:rsidRDefault="009231DF" w:rsidP="009231DF">
            <w:pPr>
              <w:pStyle w:val="ListParagraph"/>
              <w:numPr>
                <w:ilvl w:val="1"/>
                <w:numId w:val="15"/>
              </w:numPr>
              <w:rPr>
                <w:rFonts w:cs="Arial"/>
              </w:rPr>
            </w:pPr>
            <w:r w:rsidRPr="009231DF">
              <w:rPr>
                <w:rFonts w:cs="Arial"/>
              </w:rPr>
              <w:t xml:space="preserve">the fragmentary nature of historical evidence; </w:t>
            </w:r>
          </w:p>
          <w:p w:rsidR="009231DF" w:rsidRPr="009231DF" w:rsidRDefault="009231DF" w:rsidP="009231DF">
            <w:pPr>
              <w:pStyle w:val="ListParagraph"/>
              <w:numPr>
                <w:ilvl w:val="1"/>
                <w:numId w:val="15"/>
              </w:numPr>
              <w:rPr>
                <w:rFonts w:cs="Arial"/>
              </w:rPr>
            </w:pPr>
            <w:r w:rsidRPr="009231DF">
              <w:rPr>
                <w:rFonts w:cs="Arial"/>
              </w:rPr>
              <w:t xml:space="preserve">the selection and interpretation of evidence; </w:t>
            </w:r>
          </w:p>
          <w:p w:rsidR="009231DF" w:rsidRPr="009231DF" w:rsidRDefault="009231DF" w:rsidP="009231DF">
            <w:pPr>
              <w:pStyle w:val="ListParagraph"/>
              <w:numPr>
                <w:ilvl w:val="1"/>
                <w:numId w:val="15"/>
              </w:numPr>
              <w:rPr>
                <w:rFonts w:cs="Arial"/>
              </w:rPr>
            </w:pPr>
            <w:r w:rsidRPr="009231DF">
              <w:rPr>
                <w:rFonts w:cs="Arial"/>
              </w:rPr>
              <w:t xml:space="preserve">the ways that the passage of time can change the focus of historians’ views, with the emergence of new evidence or new interpretations of other historians; </w:t>
            </w:r>
          </w:p>
          <w:p w:rsidR="009231DF" w:rsidRPr="009231DF" w:rsidRDefault="009231DF" w:rsidP="009231DF">
            <w:pPr>
              <w:pStyle w:val="ListParagraph"/>
              <w:numPr>
                <w:ilvl w:val="1"/>
                <w:numId w:val="15"/>
              </w:numPr>
              <w:rPr>
                <w:rFonts w:cs="Arial"/>
              </w:rPr>
            </w:pPr>
            <w:r w:rsidRPr="009231DF">
              <w:rPr>
                <w:rFonts w:cs="Arial"/>
              </w:rPr>
              <w:t xml:space="preserve">the ways that historians are influenced by the time and place in which they work; </w:t>
            </w:r>
          </w:p>
          <w:p w:rsidR="009231DF" w:rsidRPr="009231DF" w:rsidRDefault="009231DF" w:rsidP="009231DF">
            <w:pPr>
              <w:pStyle w:val="ListParagraph"/>
              <w:numPr>
                <w:ilvl w:val="1"/>
                <w:numId w:val="15"/>
              </w:numPr>
              <w:rPr>
                <w:rFonts w:cs="Arial"/>
              </w:rPr>
            </w:pPr>
            <w:r w:rsidRPr="009231DF">
              <w:rPr>
                <w:rFonts w:cs="Arial"/>
              </w:rPr>
              <w:t xml:space="preserve">how different historians ask different questions about their field of study; </w:t>
            </w:r>
          </w:p>
          <w:p w:rsidR="009231DF" w:rsidRPr="009231DF" w:rsidRDefault="009231DF" w:rsidP="009231DF">
            <w:pPr>
              <w:pStyle w:val="ListParagraph"/>
              <w:numPr>
                <w:ilvl w:val="1"/>
                <w:numId w:val="15"/>
              </w:numPr>
              <w:rPr>
                <w:rFonts w:cs="Arial"/>
              </w:rPr>
            </w:pPr>
            <w:r w:rsidRPr="009231DF">
              <w:rPr>
                <w:rFonts w:cs="Arial"/>
              </w:rPr>
              <w:lastRenderedPageBreak/>
              <w:t>how historians’ approaches are influenced by their own ideology and beliefs (e.g. by focusing on issues of class, gender, the role of structures)</w:t>
            </w:r>
          </w:p>
          <w:p w:rsidR="009231DF" w:rsidRPr="009231DF" w:rsidRDefault="009231DF" w:rsidP="009231DF">
            <w:pPr>
              <w:pStyle w:val="ListParagraph"/>
              <w:numPr>
                <w:ilvl w:val="1"/>
                <w:numId w:val="15"/>
              </w:numPr>
              <w:rPr>
                <w:rFonts w:cs="Arial"/>
              </w:rPr>
            </w:pPr>
            <w:proofErr w:type="gramStart"/>
            <w:r w:rsidRPr="009231DF">
              <w:rPr>
                <w:rFonts w:cs="Arial"/>
              </w:rPr>
              <w:t>the</w:t>
            </w:r>
            <w:proofErr w:type="gramEnd"/>
            <w:r w:rsidRPr="009231DF">
              <w:rPr>
                <w:rFonts w:cs="Arial"/>
              </w:rPr>
              <w:t xml:space="preserve"> inter-relationship between historians’ interpretations and approaches.</w:t>
            </w:r>
          </w:p>
          <w:p w:rsidR="009231DF" w:rsidRPr="009231DF" w:rsidRDefault="009231DF" w:rsidP="00860746">
            <w:pPr>
              <w:pStyle w:val="ListParagraph"/>
              <w:ind w:left="170"/>
              <w:rPr>
                <w:rFonts w:cs="Arial"/>
              </w:rPr>
            </w:pPr>
            <w:r w:rsidRPr="009231DF">
              <w:rPr>
                <w:rFonts w:cs="Arial"/>
              </w:rPr>
              <w:t>This approach to helping learners analyse contrasting interpretations can be repeated as required throughout the course as more aspects of the historiography of the Holocaust are covered.</w:t>
            </w:r>
          </w:p>
        </w:tc>
        <w:tc>
          <w:tcPr>
            <w:tcW w:w="3544" w:type="dxa"/>
          </w:tcPr>
          <w:p w:rsidR="009231DF" w:rsidRPr="009231DF" w:rsidRDefault="009231DF" w:rsidP="00860746">
            <w:pPr>
              <w:rPr>
                <w:rFonts w:ascii="Arial" w:hAnsi="Arial" w:cs="Arial"/>
                <w:sz w:val="20"/>
                <w:szCs w:val="20"/>
              </w:rPr>
            </w:pPr>
          </w:p>
        </w:tc>
      </w:tr>
      <w:tr w:rsidR="009231DF" w:rsidRPr="009231DF" w:rsidTr="009231DF">
        <w:trPr>
          <w:trHeight w:val="133"/>
        </w:trPr>
        <w:tc>
          <w:tcPr>
            <w:tcW w:w="2410"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lastRenderedPageBreak/>
              <w:t>How far was the Holocaust a consequence of racist ideas which existed before the Nazis?</w:t>
            </w:r>
          </w:p>
        </w:tc>
        <w:tc>
          <w:tcPr>
            <w:tcW w:w="8647" w:type="dxa"/>
          </w:tcPr>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Teacher-led introduction: </w:t>
            </w:r>
            <w:r w:rsidRPr="009231DF">
              <w:rPr>
                <w:rFonts w:cs="Arial"/>
                <w:i/>
                <w:color w:val="000000"/>
              </w:rPr>
              <w:t>What are the main features of interpretations focusing on the significance of the existence of racist ideas in Germany before the Nazis?</w:t>
            </w:r>
            <w:r w:rsidRPr="009231DF">
              <w:rPr>
                <w:rFonts w:cs="Arial"/>
                <w:color w:val="000000"/>
              </w:rPr>
              <w:t xml:space="preserve"> </w:t>
            </w:r>
            <w:r w:rsidRPr="009231DF">
              <w:rPr>
                <w:rFonts w:cs="Arial"/>
                <w:b/>
                <w:color w:val="000000"/>
              </w:rPr>
              <w:t>(W)</w:t>
            </w:r>
          </w:p>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Learners are given an extract which encompasses an interpretation focusing on the significance of German history before the Nazis. As a class, read through the extract and discuss each section.</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Class discussion: </w:t>
            </w:r>
            <w:r w:rsidRPr="009231DF">
              <w:rPr>
                <w:rFonts w:cs="Arial"/>
                <w:i/>
                <w:color w:val="000000"/>
              </w:rPr>
              <w:t>how you can identify the interpretation and approach of the historian?</w:t>
            </w:r>
            <w:r w:rsidRPr="009231DF">
              <w:rPr>
                <w:rFonts w:cs="Arial"/>
                <w:color w:val="000000"/>
              </w:rPr>
              <w:t xml:space="preserve"> Make a list of guidance points to help learners when they look at the next interpretation. </w:t>
            </w:r>
            <w:r w:rsidRPr="009231DF">
              <w:rPr>
                <w:rFonts w:cs="Arial"/>
                <w:b/>
                <w:color w:val="000000"/>
              </w:rPr>
              <w:t>(W)</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Class debate: </w:t>
            </w:r>
            <w:r w:rsidRPr="009231DF">
              <w:rPr>
                <w:i/>
                <w:color w:val="auto"/>
                <w:sz w:val="20"/>
                <w:szCs w:val="20"/>
              </w:rPr>
              <w:t>How far does German history before Hitler help to explain the Holocaust? Was there anything unique about German anti-Semitism?</w:t>
            </w:r>
            <w:r w:rsidRPr="009231DF">
              <w:rPr>
                <w:color w:val="auto"/>
                <w:sz w:val="20"/>
                <w:szCs w:val="20"/>
              </w:rPr>
              <w:t xml:space="preserve"> </w:t>
            </w:r>
            <w:r w:rsidRPr="009231DF">
              <w:rPr>
                <w:b/>
                <w:color w:val="auto"/>
                <w:sz w:val="20"/>
                <w:szCs w:val="20"/>
              </w:rPr>
              <w:t>(W)</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rPr>
            </w:pPr>
            <w:proofErr w:type="spellStart"/>
            <w:r w:rsidRPr="009231DF">
              <w:rPr>
                <w:rFonts w:cs="Arial"/>
              </w:rPr>
              <w:t>Dawidowicz</w:t>
            </w:r>
            <w:proofErr w:type="spellEnd"/>
            <w:r w:rsidRPr="009231DF">
              <w:rPr>
                <w:rFonts w:cs="Arial"/>
              </w:rPr>
              <w:t xml:space="preserve"> ,Chapter 2</w:t>
            </w:r>
          </w:p>
          <w:p w:rsidR="009231DF" w:rsidRPr="009231DF" w:rsidRDefault="009231DF" w:rsidP="009231DF">
            <w:pPr>
              <w:pStyle w:val="ListParagraph"/>
              <w:numPr>
                <w:ilvl w:val="0"/>
                <w:numId w:val="15"/>
              </w:numPr>
              <w:rPr>
                <w:rFonts w:cs="Arial"/>
              </w:rPr>
            </w:pPr>
            <w:r w:rsidRPr="009231DF">
              <w:rPr>
                <w:rFonts w:cs="Arial"/>
              </w:rPr>
              <w:t xml:space="preserve">D </w:t>
            </w:r>
            <w:proofErr w:type="spellStart"/>
            <w:r w:rsidRPr="009231DF">
              <w:rPr>
                <w:rFonts w:cs="Arial"/>
              </w:rPr>
              <w:t>Goldhagen</w:t>
            </w:r>
            <w:proofErr w:type="spellEnd"/>
            <w:r w:rsidRPr="009231DF">
              <w:rPr>
                <w:rFonts w:cs="Arial"/>
              </w:rPr>
              <w:t>, Chapter 2.</w:t>
            </w:r>
          </w:p>
          <w:p w:rsidR="009231DF" w:rsidRPr="009231DF" w:rsidRDefault="009231DF" w:rsidP="00860746">
            <w:pPr>
              <w:ind w:firstLine="720"/>
              <w:rPr>
                <w:rFonts w:ascii="Arial" w:hAnsi="Arial" w:cs="Arial"/>
                <w:sz w:val="20"/>
                <w:szCs w:val="20"/>
              </w:rPr>
            </w:pPr>
          </w:p>
        </w:tc>
      </w:tr>
      <w:tr w:rsidR="009231DF" w:rsidRPr="009231DF" w:rsidTr="009231DF">
        <w:trPr>
          <w:trHeight w:val="133"/>
        </w:trPr>
        <w:tc>
          <w:tcPr>
            <w:tcW w:w="2410"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t xml:space="preserve">The </w:t>
            </w:r>
            <w:proofErr w:type="spellStart"/>
            <w:r w:rsidRPr="009231DF">
              <w:rPr>
                <w:rFonts w:ascii="Arial" w:hAnsi="Arial" w:cs="Arial"/>
                <w:sz w:val="20"/>
                <w:szCs w:val="20"/>
              </w:rPr>
              <w:t>Intentionalist</w:t>
            </w:r>
            <w:proofErr w:type="spellEnd"/>
            <w:r w:rsidRPr="009231DF">
              <w:rPr>
                <w:rFonts w:ascii="Arial" w:hAnsi="Arial" w:cs="Arial"/>
                <w:sz w:val="20"/>
                <w:szCs w:val="20"/>
              </w:rPr>
              <w:t xml:space="preserve"> approach and the role of Hitler: was the Holocaust planned in advance by Hitler?</w:t>
            </w:r>
          </w:p>
        </w:tc>
        <w:tc>
          <w:tcPr>
            <w:tcW w:w="8647"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Teacher-led introduction: </w:t>
            </w:r>
            <w:r w:rsidRPr="009231DF">
              <w:rPr>
                <w:rFonts w:cs="Arial"/>
                <w:i/>
                <w:color w:val="000000"/>
              </w:rPr>
              <w:t xml:space="preserve">What are the main features of </w:t>
            </w:r>
            <w:proofErr w:type="spellStart"/>
            <w:r w:rsidRPr="009231DF">
              <w:rPr>
                <w:rFonts w:cs="Arial"/>
                <w:i/>
                <w:color w:val="000000"/>
              </w:rPr>
              <w:t>intentionalist</w:t>
            </w:r>
            <w:proofErr w:type="spellEnd"/>
            <w:r w:rsidRPr="009231DF">
              <w:rPr>
                <w:rFonts w:cs="Arial"/>
                <w:i/>
                <w:color w:val="000000"/>
              </w:rPr>
              <w:t xml:space="preserve"> interpretations?</w:t>
            </w:r>
            <w:r w:rsidRPr="009231DF">
              <w:rPr>
                <w:rFonts w:cs="Arial"/>
                <w:b/>
                <w:color w:val="000000"/>
              </w:rPr>
              <w:t xml:space="preserve"> (W)</w:t>
            </w:r>
          </w:p>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In pairs, learners are given an extract which encompasses the </w:t>
            </w:r>
            <w:proofErr w:type="spellStart"/>
            <w:r w:rsidRPr="009231DF">
              <w:rPr>
                <w:rFonts w:cs="Arial"/>
                <w:color w:val="000000"/>
              </w:rPr>
              <w:t>Intentionalist</w:t>
            </w:r>
            <w:proofErr w:type="spellEnd"/>
            <w:r w:rsidRPr="009231DF">
              <w:rPr>
                <w:rFonts w:cs="Arial"/>
                <w:color w:val="000000"/>
              </w:rPr>
              <w:t xml:space="preserve"> interpretation, and are asked to prepare a draft answer for class discussion on how you can identify the interpretation and approach of the historian, using the guidance devised by the class in the previous lesson. </w:t>
            </w:r>
            <w:r w:rsidRPr="009231DF">
              <w:rPr>
                <w:rFonts w:cs="Arial"/>
                <w:b/>
                <w:color w:val="000000"/>
              </w:rPr>
              <w:t>(P) (H)</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Feedback from pairs and discussion of similarities and differences in answers, to help learners understand how to identify the interpretation and approach of the historian. </w:t>
            </w:r>
            <w:r w:rsidRPr="009231DF">
              <w:rPr>
                <w:b/>
                <w:color w:val="auto"/>
                <w:sz w:val="20"/>
                <w:szCs w:val="20"/>
              </w:rPr>
              <w:t>(W) (P)</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rPr>
            </w:pPr>
            <w:proofErr w:type="spellStart"/>
            <w:r w:rsidRPr="009231DF">
              <w:rPr>
                <w:rFonts w:cs="Arial"/>
              </w:rPr>
              <w:t>Dawidowicz</w:t>
            </w:r>
            <w:proofErr w:type="spellEnd"/>
          </w:p>
        </w:tc>
      </w:tr>
      <w:tr w:rsidR="009231DF" w:rsidRPr="009231DF" w:rsidTr="009231DF">
        <w:trPr>
          <w:trHeight w:val="133"/>
        </w:trPr>
        <w:tc>
          <w:tcPr>
            <w:tcW w:w="2410"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t xml:space="preserve">The Functionalist / </w:t>
            </w:r>
            <w:proofErr w:type="spellStart"/>
            <w:r w:rsidRPr="009231DF">
              <w:rPr>
                <w:rFonts w:ascii="Arial" w:hAnsi="Arial" w:cs="Arial"/>
                <w:sz w:val="20"/>
                <w:szCs w:val="20"/>
              </w:rPr>
              <w:t>Structuralist</w:t>
            </w:r>
            <w:proofErr w:type="spellEnd"/>
            <w:r w:rsidRPr="009231DF">
              <w:rPr>
                <w:rFonts w:ascii="Arial" w:hAnsi="Arial" w:cs="Arial"/>
                <w:sz w:val="20"/>
                <w:szCs w:val="20"/>
              </w:rPr>
              <w:t xml:space="preserve"> approach; how far did the nature of the Nazi state and the impact of war determine how the Holocaust developed?</w:t>
            </w:r>
          </w:p>
        </w:tc>
        <w:tc>
          <w:tcPr>
            <w:tcW w:w="8647"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Teacher-led introduction: </w:t>
            </w:r>
            <w:r w:rsidRPr="009231DF">
              <w:rPr>
                <w:rFonts w:cs="Arial"/>
                <w:i/>
                <w:color w:val="000000"/>
              </w:rPr>
              <w:t>What are the main features of Functionalist/</w:t>
            </w:r>
            <w:proofErr w:type="spellStart"/>
            <w:r w:rsidRPr="009231DF">
              <w:rPr>
                <w:rFonts w:cs="Arial"/>
                <w:i/>
                <w:color w:val="000000"/>
              </w:rPr>
              <w:t>Structuralist</w:t>
            </w:r>
            <w:proofErr w:type="spellEnd"/>
            <w:r w:rsidRPr="009231DF">
              <w:rPr>
                <w:rFonts w:cs="Arial"/>
                <w:i/>
                <w:color w:val="000000"/>
              </w:rPr>
              <w:t xml:space="preserve"> interpretations?</w:t>
            </w:r>
            <w:r w:rsidRPr="009231DF">
              <w:rPr>
                <w:rFonts w:cs="Arial"/>
                <w:b/>
                <w:color w:val="000000"/>
              </w:rPr>
              <w:t xml:space="preserve"> (W)</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Learners are given an extract which encompasses a Functionalist interpretation, and are asked to prepare a draft answer for class discussion on how you can identify the interpretation and approach of the historian. This time they should complete the task individually, before feedback and discussion as a whole class. </w:t>
            </w:r>
            <w:r w:rsidRPr="009231DF">
              <w:rPr>
                <w:b/>
                <w:color w:val="auto"/>
                <w:sz w:val="20"/>
                <w:szCs w:val="20"/>
              </w:rPr>
              <w:t>(W) (I) (H)</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sz w:val="20"/>
                <w:szCs w:val="20"/>
              </w:rPr>
            </w:pPr>
            <w:r w:rsidRPr="009231DF">
              <w:rPr>
                <w:rFonts w:ascii="Arial" w:hAnsi="Arial" w:cs="Arial"/>
                <w:sz w:val="20"/>
                <w:szCs w:val="20"/>
              </w:rPr>
              <w:t>Teacher-generated collection of materials from e.g.</w:t>
            </w:r>
            <w:r w:rsidRPr="009231DF">
              <w:rPr>
                <w:rFonts w:ascii="Arial" w:hAnsi="Arial" w:cs="Arial"/>
                <w:i/>
                <w:sz w:val="20"/>
                <w:szCs w:val="20"/>
              </w:rPr>
              <w:t xml:space="preserve"> </w:t>
            </w:r>
          </w:p>
          <w:p w:rsidR="009231DF" w:rsidRPr="009231DF" w:rsidRDefault="009231DF" w:rsidP="009231DF">
            <w:pPr>
              <w:pStyle w:val="ListParagraph"/>
              <w:numPr>
                <w:ilvl w:val="0"/>
                <w:numId w:val="15"/>
              </w:numPr>
              <w:rPr>
                <w:rFonts w:cs="Arial"/>
              </w:rPr>
            </w:pPr>
            <w:proofErr w:type="spellStart"/>
            <w:r w:rsidRPr="009231DF">
              <w:rPr>
                <w:rFonts w:cs="Arial"/>
              </w:rPr>
              <w:t>Broszat</w:t>
            </w:r>
            <w:proofErr w:type="spellEnd"/>
            <w:r w:rsidRPr="009231DF">
              <w:rPr>
                <w:rFonts w:cs="Arial"/>
              </w:rPr>
              <w:t xml:space="preserve"> </w:t>
            </w:r>
          </w:p>
          <w:p w:rsidR="009231DF" w:rsidRPr="009231DF" w:rsidRDefault="009231DF" w:rsidP="009231DF">
            <w:pPr>
              <w:pStyle w:val="ListParagraph"/>
              <w:numPr>
                <w:ilvl w:val="0"/>
                <w:numId w:val="15"/>
              </w:numPr>
              <w:rPr>
                <w:rFonts w:cs="Arial"/>
              </w:rPr>
            </w:pPr>
            <w:proofErr w:type="gramStart"/>
            <w:r w:rsidRPr="009231DF">
              <w:rPr>
                <w:rFonts w:cs="Arial"/>
              </w:rPr>
              <w:t>or</w:t>
            </w:r>
            <w:proofErr w:type="gramEnd"/>
            <w:r w:rsidRPr="009231DF">
              <w:rPr>
                <w:rFonts w:cs="Arial"/>
              </w:rPr>
              <w:t xml:space="preserve"> from other functionalists such as Hans Mommsen.</w:t>
            </w:r>
          </w:p>
        </w:tc>
      </w:tr>
      <w:tr w:rsidR="009231DF" w:rsidRPr="009231DF" w:rsidTr="009231DF">
        <w:trPr>
          <w:trHeight w:val="133"/>
        </w:trPr>
        <w:tc>
          <w:tcPr>
            <w:tcW w:w="2410" w:type="dxa"/>
          </w:tcPr>
          <w:p w:rsidR="009231DF" w:rsidRPr="009231DF" w:rsidRDefault="009231DF" w:rsidP="00860746">
            <w:pPr>
              <w:autoSpaceDE w:val="0"/>
              <w:autoSpaceDN w:val="0"/>
              <w:adjustRightInd w:val="0"/>
              <w:rPr>
                <w:rFonts w:ascii="Arial" w:hAnsi="Arial" w:cs="Arial"/>
                <w:sz w:val="20"/>
                <w:szCs w:val="20"/>
              </w:rPr>
            </w:pPr>
            <w:r w:rsidRPr="009231DF">
              <w:rPr>
                <w:rFonts w:ascii="Arial" w:hAnsi="Arial" w:cs="Arial"/>
                <w:sz w:val="20"/>
                <w:szCs w:val="20"/>
              </w:rPr>
              <w:lastRenderedPageBreak/>
              <w:t xml:space="preserve">Synthesis interpretations which aim to reconcile the </w:t>
            </w:r>
            <w:proofErr w:type="spellStart"/>
            <w:r w:rsidRPr="009231DF">
              <w:rPr>
                <w:rFonts w:ascii="Arial" w:hAnsi="Arial" w:cs="Arial"/>
                <w:sz w:val="20"/>
                <w:szCs w:val="20"/>
              </w:rPr>
              <w:t>Intentionalist</w:t>
            </w:r>
            <w:proofErr w:type="spellEnd"/>
            <w:r w:rsidRPr="009231DF">
              <w:rPr>
                <w:rFonts w:ascii="Arial" w:hAnsi="Arial" w:cs="Arial"/>
                <w:sz w:val="20"/>
                <w:szCs w:val="20"/>
              </w:rPr>
              <w:t xml:space="preserve"> and Functionalist viewpoints:</w:t>
            </w:r>
          </w:p>
        </w:tc>
        <w:tc>
          <w:tcPr>
            <w:tcW w:w="8647" w:type="dxa"/>
          </w:tcPr>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Teacher-led introduction: </w:t>
            </w:r>
            <w:r w:rsidRPr="009231DF">
              <w:rPr>
                <w:rFonts w:cs="Arial"/>
                <w:i/>
                <w:color w:val="000000"/>
              </w:rPr>
              <w:t>What are the main features of synthesis interpretations?</w:t>
            </w:r>
            <w:r w:rsidRPr="009231DF">
              <w:rPr>
                <w:rFonts w:cs="Arial"/>
                <w:b/>
                <w:color w:val="000000"/>
              </w:rPr>
              <w:t xml:space="preserve"> (W)</w:t>
            </w:r>
          </w:p>
          <w:p w:rsidR="009231DF" w:rsidRPr="009231DF" w:rsidRDefault="009231DF" w:rsidP="009231DF">
            <w:pPr>
              <w:pStyle w:val="ListParagraph"/>
              <w:numPr>
                <w:ilvl w:val="0"/>
                <w:numId w:val="15"/>
              </w:numPr>
              <w:autoSpaceDE w:val="0"/>
              <w:autoSpaceDN w:val="0"/>
              <w:adjustRightInd w:val="0"/>
              <w:rPr>
                <w:rFonts w:cs="Arial"/>
                <w:color w:val="000000"/>
              </w:rPr>
            </w:pPr>
            <w:r w:rsidRPr="009231DF">
              <w:rPr>
                <w:rFonts w:cs="Arial"/>
                <w:color w:val="000000"/>
              </w:rPr>
              <w:t xml:space="preserve">Arrange a number of workstations around the room, each with a source which encompasses a Synthesis interpretation. Learners are asked to visit each workstation and complete a table to show the interpretation identified in each extract, and the approach of the historian. Whole class feedback on findings. </w:t>
            </w:r>
            <w:r w:rsidRPr="009231DF">
              <w:rPr>
                <w:rFonts w:cs="Arial"/>
                <w:b/>
                <w:color w:val="000000"/>
              </w:rPr>
              <w:t>(W) (I)</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Re-visit the original question: </w:t>
            </w:r>
            <w:r w:rsidRPr="009231DF">
              <w:rPr>
                <w:i/>
                <w:color w:val="auto"/>
                <w:sz w:val="20"/>
                <w:szCs w:val="20"/>
              </w:rPr>
              <w:t>What are the main features of synthesis interpretations?</w:t>
            </w:r>
            <w:r w:rsidRPr="009231DF">
              <w:rPr>
                <w:color w:val="auto"/>
                <w:sz w:val="20"/>
                <w:szCs w:val="20"/>
              </w:rPr>
              <w:t xml:space="preserve"> </w:t>
            </w:r>
            <w:r w:rsidRPr="009231DF">
              <w:rPr>
                <w:b/>
                <w:color w:val="auto"/>
                <w:sz w:val="20"/>
                <w:szCs w:val="20"/>
              </w:rPr>
              <w:t>(W)</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i/>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i/>
              </w:rPr>
            </w:pPr>
            <w:r w:rsidRPr="009231DF">
              <w:rPr>
                <w:rFonts w:cs="Arial"/>
              </w:rPr>
              <w:t>Kershaw</w:t>
            </w:r>
          </w:p>
        </w:tc>
      </w:tr>
      <w:tr w:rsidR="009231DF" w:rsidRPr="009231DF" w:rsidTr="009231DF">
        <w:trPr>
          <w:trHeight w:val="4198"/>
        </w:trPr>
        <w:tc>
          <w:tcPr>
            <w:tcW w:w="2410" w:type="dxa"/>
          </w:tcPr>
          <w:p w:rsidR="009231DF" w:rsidRPr="009231DF" w:rsidRDefault="009231DF" w:rsidP="009231DF">
            <w:pPr>
              <w:pStyle w:val="ListParagraph"/>
              <w:numPr>
                <w:ilvl w:val="0"/>
                <w:numId w:val="15"/>
              </w:numPr>
              <w:autoSpaceDE w:val="0"/>
              <w:autoSpaceDN w:val="0"/>
              <w:adjustRightInd w:val="0"/>
              <w:rPr>
                <w:rFonts w:cs="Arial"/>
              </w:rPr>
            </w:pPr>
            <w:r w:rsidRPr="009231DF">
              <w:rPr>
                <w:rFonts w:cs="Arial"/>
                <w:b/>
              </w:rPr>
              <w:t>Perpetrators</w:t>
            </w:r>
            <w:r w:rsidRPr="009231DF">
              <w:rPr>
                <w:rFonts w:cs="Arial"/>
              </w:rPr>
              <w:t>: who carried out the Holocaust, and why? Was murderous behaviour the exception or were many involved? Why did non-Germans participate in the killings?</w:t>
            </w:r>
          </w:p>
        </w:tc>
        <w:tc>
          <w:tcPr>
            <w:tcW w:w="8647" w:type="dxa"/>
          </w:tcPr>
          <w:p w:rsidR="009231DF" w:rsidRPr="009231DF" w:rsidRDefault="009231DF" w:rsidP="00860746">
            <w:pPr>
              <w:pStyle w:val="Default"/>
              <w:spacing w:after="0" w:line="240" w:lineRule="auto"/>
              <w:rPr>
                <w:sz w:val="20"/>
                <w:szCs w:val="20"/>
              </w:rPr>
            </w:pPr>
            <w:r w:rsidRPr="009231DF">
              <w:rPr>
                <w:sz w:val="20"/>
                <w:szCs w:val="20"/>
              </w:rPr>
              <w:t>The following three lessons should focus on the next three key approaches.</w:t>
            </w:r>
          </w:p>
          <w:p w:rsidR="009231DF" w:rsidRPr="009231DF" w:rsidRDefault="009231DF" w:rsidP="009231DF">
            <w:pPr>
              <w:pStyle w:val="Default"/>
              <w:numPr>
                <w:ilvl w:val="0"/>
                <w:numId w:val="15"/>
              </w:numPr>
              <w:spacing w:after="0" w:line="240" w:lineRule="auto"/>
              <w:rPr>
                <w:sz w:val="20"/>
                <w:szCs w:val="20"/>
              </w:rPr>
            </w:pPr>
            <w:r w:rsidRPr="009231DF">
              <w:rPr>
                <w:sz w:val="20"/>
                <w:szCs w:val="20"/>
              </w:rPr>
              <w:t xml:space="preserve">Teacher-led introduction – a summary of: </w:t>
            </w:r>
            <w:r w:rsidRPr="009231DF">
              <w:rPr>
                <w:b/>
                <w:sz w:val="20"/>
                <w:szCs w:val="20"/>
              </w:rPr>
              <w:t>(W)</w:t>
            </w:r>
          </w:p>
          <w:p w:rsidR="009231DF" w:rsidRPr="009231DF" w:rsidRDefault="009231DF" w:rsidP="009231DF">
            <w:pPr>
              <w:pStyle w:val="Default"/>
              <w:numPr>
                <w:ilvl w:val="1"/>
                <w:numId w:val="15"/>
              </w:numPr>
              <w:spacing w:after="0" w:line="240" w:lineRule="auto"/>
              <w:rPr>
                <w:i/>
                <w:sz w:val="20"/>
                <w:szCs w:val="20"/>
              </w:rPr>
            </w:pPr>
            <w:r w:rsidRPr="009231DF">
              <w:rPr>
                <w:i/>
                <w:sz w:val="20"/>
                <w:szCs w:val="20"/>
              </w:rPr>
              <w:t xml:space="preserve">What are the main features of interpretations about the perpetrators / victims / bystanders? </w:t>
            </w:r>
          </w:p>
          <w:p w:rsidR="009231DF" w:rsidRPr="009231DF" w:rsidRDefault="009231DF" w:rsidP="009231DF">
            <w:pPr>
              <w:pStyle w:val="Default"/>
              <w:numPr>
                <w:ilvl w:val="0"/>
                <w:numId w:val="15"/>
              </w:numPr>
              <w:spacing w:after="0" w:line="240" w:lineRule="auto"/>
              <w:rPr>
                <w:sz w:val="20"/>
                <w:szCs w:val="20"/>
              </w:rPr>
            </w:pPr>
            <w:r w:rsidRPr="009231DF">
              <w:rPr>
                <w:sz w:val="20"/>
                <w:szCs w:val="20"/>
              </w:rPr>
              <w:t>Learners are divided into three groups, each group with a responsibility to plan and prepare a presentation for the whole class on their allocated key content/approach. The three pieces to be allocated are:</w:t>
            </w:r>
          </w:p>
          <w:p w:rsidR="009231DF" w:rsidRPr="009231DF" w:rsidRDefault="009231DF" w:rsidP="009231DF">
            <w:pPr>
              <w:pStyle w:val="Default"/>
              <w:numPr>
                <w:ilvl w:val="0"/>
                <w:numId w:val="17"/>
              </w:numPr>
              <w:spacing w:after="0" w:line="240" w:lineRule="auto"/>
              <w:rPr>
                <w:i/>
                <w:sz w:val="20"/>
                <w:szCs w:val="20"/>
              </w:rPr>
            </w:pPr>
            <w:r w:rsidRPr="009231DF">
              <w:rPr>
                <w:b/>
                <w:i/>
                <w:sz w:val="20"/>
                <w:szCs w:val="20"/>
              </w:rPr>
              <w:t>Perpetrators</w:t>
            </w:r>
            <w:r w:rsidRPr="009231DF">
              <w:rPr>
                <w:i/>
                <w:sz w:val="20"/>
                <w:szCs w:val="20"/>
              </w:rPr>
              <w:t>: who carried out the Holocaust, and why? Was murderous behaviour the exception or were many involved? Why did non-Germans participate in the killings?</w:t>
            </w:r>
          </w:p>
          <w:p w:rsidR="009231DF" w:rsidRPr="009231DF" w:rsidRDefault="009231DF" w:rsidP="009231DF">
            <w:pPr>
              <w:pStyle w:val="Default"/>
              <w:numPr>
                <w:ilvl w:val="0"/>
                <w:numId w:val="17"/>
              </w:numPr>
              <w:spacing w:after="0" w:line="240" w:lineRule="auto"/>
              <w:rPr>
                <w:i/>
                <w:sz w:val="20"/>
                <w:szCs w:val="20"/>
              </w:rPr>
            </w:pPr>
            <w:r w:rsidRPr="009231DF">
              <w:rPr>
                <w:b/>
                <w:i/>
                <w:sz w:val="20"/>
                <w:szCs w:val="20"/>
              </w:rPr>
              <w:t>Victims</w:t>
            </w:r>
            <w:r w:rsidRPr="009231DF">
              <w:rPr>
                <w:i/>
                <w:sz w:val="20"/>
                <w:szCs w:val="20"/>
              </w:rPr>
              <w:t>: How far did Jews resist the Holocaust, and how can resistance be defined? Did men and women experience the Holocaust in different ways? Should definitions of the Holocaust include victims other than Jews?</w:t>
            </w:r>
          </w:p>
          <w:p w:rsidR="009231DF" w:rsidRPr="009231DF" w:rsidRDefault="009231DF" w:rsidP="009231DF">
            <w:pPr>
              <w:pStyle w:val="Default"/>
              <w:numPr>
                <w:ilvl w:val="0"/>
                <w:numId w:val="17"/>
              </w:numPr>
              <w:spacing w:after="0" w:line="240" w:lineRule="auto"/>
              <w:rPr>
                <w:i/>
                <w:sz w:val="20"/>
                <w:szCs w:val="20"/>
              </w:rPr>
            </w:pPr>
            <w:r w:rsidRPr="009231DF">
              <w:rPr>
                <w:b/>
                <w:i/>
                <w:sz w:val="20"/>
                <w:szCs w:val="20"/>
              </w:rPr>
              <w:t>Bystanders</w:t>
            </w:r>
            <w:r w:rsidRPr="009231DF">
              <w:rPr>
                <w:sz w:val="20"/>
                <w:szCs w:val="20"/>
              </w:rPr>
              <w:t xml:space="preserve">: </w:t>
            </w:r>
            <w:r w:rsidRPr="009231DF">
              <w:rPr>
                <w:i/>
                <w:sz w:val="20"/>
                <w:szCs w:val="20"/>
              </w:rPr>
              <w:t>How did the USA and Britain respond to the Holocaust at the time?</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Learners are given materials from the suggested learning resources and should ensure their presentations include several extracts and clearly show the approach and interpretation of each historian. </w:t>
            </w:r>
          </w:p>
          <w:p w:rsidR="009231DF" w:rsidRPr="009231DF" w:rsidRDefault="009231DF" w:rsidP="009231DF">
            <w:pPr>
              <w:pStyle w:val="Default"/>
              <w:numPr>
                <w:ilvl w:val="1"/>
                <w:numId w:val="15"/>
              </w:numPr>
              <w:spacing w:after="0" w:line="240" w:lineRule="auto"/>
              <w:rPr>
                <w:sz w:val="20"/>
                <w:szCs w:val="20"/>
              </w:rPr>
            </w:pPr>
            <w:r w:rsidRPr="009231DF">
              <w:rPr>
                <w:sz w:val="20"/>
                <w:szCs w:val="20"/>
              </w:rPr>
              <w:t xml:space="preserve">Depending on time, each group could prepare a work sheet or notes for the rest of the class to use in conjunction with their presentation. You will need to guide and advise groups in their research and presentations. It is up to you to decide on how long learners may spend on this research, dependent on allocated teaching time, syllabus yet to cover, etc. </w:t>
            </w:r>
            <w:r w:rsidRPr="009231DF">
              <w:rPr>
                <w:b/>
                <w:sz w:val="20"/>
                <w:szCs w:val="20"/>
              </w:rPr>
              <w:t>(W) (G) (H)</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i/>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i/>
              </w:rPr>
            </w:pPr>
            <w:proofErr w:type="spellStart"/>
            <w:r w:rsidRPr="009231DF">
              <w:rPr>
                <w:rFonts w:cs="Arial"/>
              </w:rPr>
              <w:t>Goldhagen</w:t>
            </w:r>
            <w:proofErr w:type="spellEnd"/>
            <w:r w:rsidRPr="009231DF">
              <w:rPr>
                <w:rFonts w:cs="Arial"/>
              </w:rPr>
              <w:t xml:space="preserve"> </w:t>
            </w:r>
          </w:p>
          <w:p w:rsidR="009231DF" w:rsidRPr="009231DF" w:rsidRDefault="009231DF" w:rsidP="009231DF">
            <w:pPr>
              <w:pStyle w:val="ListParagraph"/>
              <w:numPr>
                <w:ilvl w:val="0"/>
                <w:numId w:val="15"/>
              </w:numPr>
              <w:rPr>
                <w:rFonts w:cs="Arial"/>
                <w:i/>
              </w:rPr>
            </w:pPr>
            <w:r w:rsidRPr="009231DF">
              <w:rPr>
                <w:rFonts w:cs="Arial"/>
                <w:i/>
              </w:rPr>
              <w:t>Ordinary Men</w:t>
            </w:r>
            <w:r w:rsidRPr="009231DF">
              <w:rPr>
                <w:rFonts w:cs="Arial"/>
              </w:rPr>
              <w:t xml:space="preserve"> by C Browning. (Note Browning’s reply to </w:t>
            </w:r>
            <w:proofErr w:type="spellStart"/>
            <w:r w:rsidRPr="009231DF">
              <w:rPr>
                <w:rFonts w:cs="Arial"/>
              </w:rPr>
              <w:t>Goldhagen’s</w:t>
            </w:r>
            <w:proofErr w:type="spellEnd"/>
            <w:r w:rsidRPr="009231DF">
              <w:rPr>
                <w:rFonts w:cs="Arial"/>
              </w:rPr>
              <w:t xml:space="preserve"> interpretation in the 2001 Penguin edition of </w:t>
            </w:r>
            <w:r w:rsidRPr="009231DF">
              <w:rPr>
                <w:rFonts w:cs="Arial"/>
                <w:i/>
              </w:rPr>
              <w:t>Ordinary Men</w:t>
            </w:r>
            <w:r w:rsidRPr="009231DF">
              <w:rPr>
                <w:rFonts w:cs="Arial"/>
              </w:rPr>
              <w:t>)</w:t>
            </w:r>
          </w:p>
        </w:tc>
      </w:tr>
      <w:tr w:rsidR="009231DF" w:rsidRPr="009231DF" w:rsidTr="009231DF">
        <w:trPr>
          <w:trHeight w:val="133"/>
        </w:trPr>
        <w:tc>
          <w:tcPr>
            <w:tcW w:w="2410" w:type="dxa"/>
          </w:tcPr>
          <w:p w:rsidR="009231DF" w:rsidRPr="009231DF" w:rsidRDefault="009231DF" w:rsidP="009231DF">
            <w:pPr>
              <w:pStyle w:val="ListParagraph"/>
              <w:numPr>
                <w:ilvl w:val="0"/>
                <w:numId w:val="15"/>
              </w:numPr>
              <w:autoSpaceDE w:val="0"/>
              <w:autoSpaceDN w:val="0"/>
              <w:adjustRightInd w:val="0"/>
              <w:rPr>
                <w:rFonts w:cs="Arial"/>
              </w:rPr>
            </w:pPr>
            <w:r w:rsidRPr="009231DF">
              <w:rPr>
                <w:rFonts w:cs="Arial"/>
                <w:b/>
              </w:rPr>
              <w:t>Victims</w:t>
            </w:r>
            <w:r w:rsidRPr="009231DF">
              <w:rPr>
                <w:rFonts w:cs="Arial"/>
              </w:rPr>
              <w:t xml:space="preserve">: How far did Jews resist the Holocaust, and how can resistance be </w:t>
            </w:r>
            <w:r w:rsidRPr="009231DF">
              <w:rPr>
                <w:rFonts w:cs="Arial"/>
              </w:rPr>
              <w:lastRenderedPageBreak/>
              <w:t>defined? Did men and women experience the Holocaust in different ways? Should definitions of the Holocaust include victims other than Jews?</w:t>
            </w:r>
          </w:p>
        </w:tc>
        <w:tc>
          <w:tcPr>
            <w:tcW w:w="8647" w:type="dxa"/>
          </w:tcPr>
          <w:p w:rsidR="009231DF" w:rsidRPr="009231DF" w:rsidRDefault="009231DF" w:rsidP="009231DF">
            <w:pPr>
              <w:pStyle w:val="Default"/>
              <w:numPr>
                <w:ilvl w:val="0"/>
                <w:numId w:val="15"/>
              </w:numPr>
              <w:spacing w:after="0" w:line="240" w:lineRule="auto"/>
              <w:rPr>
                <w:sz w:val="20"/>
                <w:szCs w:val="20"/>
              </w:rPr>
            </w:pPr>
            <w:r w:rsidRPr="009231DF">
              <w:rPr>
                <w:sz w:val="20"/>
                <w:szCs w:val="20"/>
              </w:rPr>
              <w:lastRenderedPageBreak/>
              <w:t>Continued group work, as above.</w:t>
            </w:r>
            <w:r w:rsidRPr="009231DF">
              <w:rPr>
                <w:b/>
                <w:sz w:val="20"/>
                <w:szCs w:val="20"/>
              </w:rPr>
              <w:t xml:space="preserve"> (G) (H)</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rPr>
            </w:pPr>
            <w:proofErr w:type="spellStart"/>
            <w:r w:rsidRPr="009231DF">
              <w:rPr>
                <w:rFonts w:cs="Arial"/>
              </w:rPr>
              <w:t>Hilberg</w:t>
            </w:r>
            <w:proofErr w:type="spellEnd"/>
            <w:r w:rsidRPr="009231DF">
              <w:rPr>
                <w:rFonts w:cs="Arial"/>
              </w:rPr>
              <w:t xml:space="preserve"> </w:t>
            </w:r>
          </w:p>
          <w:p w:rsidR="009231DF" w:rsidRPr="009231DF" w:rsidRDefault="009231DF" w:rsidP="009231DF">
            <w:pPr>
              <w:pStyle w:val="ListParagraph"/>
              <w:numPr>
                <w:ilvl w:val="0"/>
                <w:numId w:val="15"/>
              </w:numPr>
              <w:rPr>
                <w:rFonts w:cs="Arial"/>
              </w:rPr>
            </w:pPr>
            <w:r w:rsidRPr="009231DF">
              <w:rPr>
                <w:rFonts w:cs="Arial"/>
              </w:rPr>
              <w:lastRenderedPageBreak/>
              <w:t xml:space="preserve">Arendt (for interpretations claiming lack of Jewish resistance), </w:t>
            </w:r>
          </w:p>
          <w:p w:rsidR="009231DF" w:rsidRPr="009231DF" w:rsidRDefault="009231DF" w:rsidP="009231DF">
            <w:pPr>
              <w:pStyle w:val="ListParagraph"/>
              <w:numPr>
                <w:ilvl w:val="0"/>
                <w:numId w:val="15"/>
              </w:numPr>
              <w:rPr>
                <w:rFonts w:cs="Arial"/>
              </w:rPr>
            </w:pPr>
            <w:r w:rsidRPr="009231DF">
              <w:rPr>
                <w:rFonts w:cs="Arial"/>
              </w:rPr>
              <w:t xml:space="preserve">Trunk </w:t>
            </w:r>
          </w:p>
          <w:p w:rsidR="009231DF" w:rsidRPr="009231DF" w:rsidRDefault="009231DF" w:rsidP="009231DF">
            <w:pPr>
              <w:pStyle w:val="ListParagraph"/>
              <w:numPr>
                <w:ilvl w:val="0"/>
                <w:numId w:val="15"/>
              </w:numPr>
              <w:rPr>
                <w:rFonts w:cs="Arial"/>
              </w:rPr>
            </w:pPr>
            <w:proofErr w:type="spellStart"/>
            <w:r w:rsidRPr="009231DF">
              <w:rPr>
                <w:rFonts w:cs="Arial"/>
              </w:rPr>
              <w:t>Krakowski</w:t>
            </w:r>
            <w:proofErr w:type="spellEnd"/>
          </w:p>
        </w:tc>
      </w:tr>
      <w:tr w:rsidR="009231DF" w:rsidRPr="009231DF" w:rsidTr="009231DF">
        <w:trPr>
          <w:trHeight w:val="133"/>
        </w:trPr>
        <w:tc>
          <w:tcPr>
            <w:tcW w:w="2410" w:type="dxa"/>
          </w:tcPr>
          <w:p w:rsidR="009231DF" w:rsidRPr="009231DF" w:rsidRDefault="009231DF" w:rsidP="009231DF">
            <w:pPr>
              <w:pStyle w:val="ListParagraph"/>
              <w:numPr>
                <w:ilvl w:val="0"/>
                <w:numId w:val="15"/>
              </w:numPr>
              <w:rPr>
                <w:rFonts w:cs="Arial"/>
              </w:rPr>
            </w:pPr>
            <w:r w:rsidRPr="009231DF">
              <w:rPr>
                <w:rFonts w:cs="Arial"/>
                <w:b/>
              </w:rPr>
              <w:lastRenderedPageBreak/>
              <w:t>Bystanders</w:t>
            </w:r>
            <w:r w:rsidRPr="009231DF">
              <w:rPr>
                <w:rFonts w:cs="Arial"/>
              </w:rPr>
              <w:t>: How did the USA and Britain respond to the Holocaust at the time?</w:t>
            </w:r>
          </w:p>
        </w:tc>
        <w:tc>
          <w:tcPr>
            <w:tcW w:w="8647" w:type="dxa"/>
          </w:tcPr>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Group presentations (from group work above). It is vital here that you ensure the key points of each interpretation are clearly presented, so there is good whole class understanding, but prior teacher guidance should ensure this. </w:t>
            </w:r>
            <w:r w:rsidRPr="009231DF">
              <w:rPr>
                <w:rFonts w:cs="Arial"/>
                <w:b/>
                <w:color w:val="000000"/>
              </w:rPr>
              <w:t>(W) (G)</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Research task/class discussion: </w:t>
            </w:r>
            <w:r w:rsidRPr="009231DF">
              <w:rPr>
                <w:rFonts w:cs="Arial"/>
                <w:i/>
                <w:color w:val="000000"/>
              </w:rPr>
              <w:t xml:space="preserve">How far do the experiments of social psychologists like Stanley </w:t>
            </w:r>
            <w:proofErr w:type="spellStart"/>
            <w:r w:rsidRPr="009231DF">
              <w:rPr>
                <w:rFonts w:cs="Arial"/>
                <w:i/>
                <w:color w:val="000000"/>
              </w:rPr>
              <w:t>Milgram</w:t>
            </w:r>
            <w:proofErr w:type="spellEnd"/>
            <w:r w:rsidRPr="009231DF">
              <w:rPr>
                <w:rFonts w:cs="Arial"/>
                <w:i/>
                <w:color w:val="000000"/>
              </w:rPr>
              <w:t xml:space="preserve"> (e.g. Yale experiment on obedience to authority figures) cast light on debates about the perpetrators?</w:t>
            </w:r>
            <w:r w:rsidRPr="009231DF">
              <w:rPr>
                <w:rFonts w:cs="Arial"/>
                <w:color w:val="000000"/>
              </w:rPr>
              <w:t xml:space="preserve"> </w:t>
            </w:r>
            <w:r w:rsidRPr="009231DF">
              <w:rPr>
                <w:rFonts w:cs="Arial"/>
                <w:b/>
                <w:color w:val="000000"/>
              </w:rPr>
              <w:t>(I/W)</w:t>
            </w:r>
          </w:p>
          <w:p w:rsidR="009231DF" w:rsidRPr="009231DF" w:rsidRDefault="009231DF" w:rsidP="009231DF">
            <w:pPr>
              <w:pStyle w:val="ListParagraph"/>
              <w:numPr>
                <w:ilvl w:val="0"/>
                <w:numId w:val="15"/>
              </w:numPr>
              <w:autoSpaceDE w:val="0"/>
              <w:autoSpaceDN w:val="0"/>
              <w:adjustRightInd w:val="0"/>
              <w:rPr>
                <w:rFonts w:cs="Arial"/>
                <w:b/>
                <w:color w:val="000000"/>
              </w:rPr>
            </w:pPr>
            <w:r w:rsidRPr="009231DF">
              <w:rPr>
                <w:rFonts w:cs="Arial"/>
                <w:color w:val="000000"/>
              </w:rPr>
              <w:t xml:space="preserve">Class Debate: </w:t>
            </w:r>
            <w:r w:rsidRPr="009231DF">
              <w:rPr>
                <w:rFonts w:cs="Arial"/>
                <w:i/>
                <w:color w:val="000000"/>
              </w:rPr>
              <w:t>Should the victims of the Holocaust have resisted more violently?</w:t>
            </w:r>
            <w:r w:rsidRPr="009231DF">
              <w:rPr>
                <w:rFonts w:cs="Arial"/>
                <w:color w:val="000000"/>
              </w:rPr>
              <w:t xml:space="preserve"> </w:t>
            </w:r>
            <w:r w:rsidRPr="009231DF">
              <w:rPr>
                <w:rFonts w:cs="Arial"/>
                <w:b/>
                <w:color w:val="000000"/>
              </w:rPr>
              <w:t>(W)</w:t>
            </w:r>
          </w:p>
          <w:p w:rsidR="009231DF" w:rsidRPr="009231DF" w:rsidRDefault="009231DF" w:rsidP="009231DF">
            <w:pPr>
              <w:pStyle w:val="Default"/>
              <w:numPr>
                <w:ilvl w:val="0"/>
                <w:numId w:val="15"/>
              </w:numPr>
              <w:spacing w:after="0" w:line="240" w:lineRule="auto"/>
              <w:rPr>
                <w:sz w:val="20"/>
                <w:szCs w:val="20"/>
              </w:rPr>
            </w:pPr>
            <w:r w:rsidRPr="009231DF">
              <w:rPr>
                <w:color w:val="auto"/>
                <w:sz w:val="20"/>
                <w:szCs w:val="20"/>
              </w:rPr>
              <w:t xml:space="preserve">Class discussion: </w:t>
            </w:r>
            <w:r w:rsidRPr="009231DF">
              <w:rPr>
                <w:i/>
                <w:color w:val="auto"/>
                <w:sz w:val="20"/>
                <w:szCs w:val="20"/>
              </w:rPr>
              <w:t>how far are bystanders to blame?</w:t>
            </w:r>
            <w:r w:rsidRPr="009231DF">
              <w:rPr>
                <w:color w:val="auto"/>
                <w:sz w:val="20"/>
                <w:szCs w:val="20"/>
              </w:rPr>
              <w:t xml:space="preserve"> </w:t>
            </w:r>
            <w:r w:rsidRPr="009231DF">
              <w:rPr>
                <w:b/>
                <w:color w:val="auto"/>
                <w:sz w:val="20"/>
                <w:szCs w:val="20"/>
              </w:rPr>
              <w:t>(W)</w:t>
            </w:r>
          </w:p>
        </w:tc>
        <w:tc>
          <w:tcPr>
            <w:tcW w:w="3544" w:type="dxa"/>
          </w:tcPr>
          <w:p w:rsidR="009231DF" w:rsidRPr="009231DF" w:rsidRDefault="009231DF" w:rsidP="00860746">
            <w:pPr>
              <w:rPr>
                <w:rFonts w:ascii="Arial" w:hAnsi="Arial" w:cs="Arial"/>
                <w:b/>
                <w:sz w:val="20"/>
                <w:szCs w:val="20"/>
              </w:rPr>
            </w:pPr>
            <w:r w:rsidRPr="009231DF">
              <w:rPr>
                <w:rFonts w:ascii="Arial" w:hAnsi="Arial" w:cs="Arial"/>
                <w:b/>
                <w:sz w:val="20"/>
                <w:szCs w:val="20"/>
              </w:rPr>
              <w:t>Textbooks</w:t>
            </w:r>
          </w:p>
          <w:p w:rsidR="009231DF" w:rsidRPr="009231DF" w:rsidRDefault="009231DF" w:rsidP="00860746">
            <w:pPr>
              <w:rPr>
                <w:rFonts w:ascii="Arial" w:hAnsi="Arial" w:cs="Arial"/>
                <w:sz w:val="20"/>
                <w:szCs w:val="20"/>
              </w:rPr>
            </w:pPr>
            <w:r w:rsidRPr="009231DF">
              <w:rPr>
                <w:rFonts w:ascii="Arial" w:hAnsi="Arial" w:cs="Arial"/>
                <w:sz w:val="20"/>
                <w:szCs w:val="20"/>
              </w:rPr>
              <w:t xml:space="preserve">Teacher-generated collection of materials from e.g. </w:t>
            </w:r>
          </w:p>
          <w:p w:rsidR="009231DF" w:rsidRPr="009231DF" w:rsidRDefault="009231DF" w:rsidP="009231DF">
            <w:pPr>
              <w:pStyle w:val="ListParagraph"/>
              <w:numPr>
                <w:ilvl w:val="0"/>
                <w:numId w:val="15"/>
              </w:numPr>
              <w:rPr>
                <w:rFonts w:cs="Arial"/>
              </w:rPr>
            </w:pPr>
            <w:r w:rsidRPr="009231DF">
              <w:rPr>
                <w:rFonts w:cs="Arial"/>
              </w:rPr>
              <w:t>Morse</w:t>
            </w:r>
            <w:r w:rsidRPr="009231DF">
              <w:rPr>
                <w:rFonts w:cs="Arial"/>
                <w:i/>
              </w:rPr>
              <w:t xml:space="preserve"> </w:t>
            </w:r>
          </w:p>
          <w:p w:rsidR="009231DF" w:rsidRPr="009231DF" w:rsidRDefault="009231DF" w:rsidP="009231DF">
            <w:pPr>
              <w:pStyle w:val="ListParagraph"/>
              <w:numPr>
                <w:ilvl w:val="0"/>
                <w:numId w:val="15"/>
              </w:numPr>
              <w:rPr>
                <w:rFonts w:cs="Arial"/>
              </w:rPr>
            </w:pPr>
            <w:r w:rsidRPr="009231DF">
              <w:rPr>
                <w:rFonts w:cs="Arial"/>
              </w:rPr>
              <w:t>Wyman</w:t>
            </w:r>
          </w:p>
        </w:tc>
      </w:tr>
    </w:tbl>
    <w:p w:rsidR="009231DF" w:rsidRDefault="009231DF" w:rsidP="00B434C1">
      <w:pPr>
        <w:ind w:left="-567" w:right="43"/>
        <w:rPr>
          <w:rFonts w:ascii="Arial" w:hAnsi="Arial" w:cs="Arial"/>
          <w:color w:val="FFFFFF"/>
          <w:sz w:val="20"/>
          <w:szCs w:val="20"/>
        </w:rPr>
      </w:pPr>
    </w:p>
    <w:p w:rsidR="009231DF" w:rsidRDefault="009231DF"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9231DF">
        <w:rPr>
          <w:rFonts w:ascii="Arial" w:hAnsi="Arial" w:cs="Arial"/>
          <w:sz w:val="20"/>
          <w:szCs w:val="20"/>
        </w:rPr>
        <w:t>15</w:t>
      </w:r>
    </w:p>
    <w:p w:rsidR="009231DF" w:rsidRDefault="009231DF" w:rsidP="00647A8A">
      <w:pPr>
        <w:ind w:left="-567" w:firstLine="567"/>
        <w:rPr>
          <w:rFonts w:ascii="Arial" w:hAnsi="Arial" w:cs="Arial"/>
          <w:sz w:val="20"/>
          <w:szCs w:val="20"/>
        </w:rPr>
      </w:pPr>
      <w:r>
        <w:rPr>
          <w:rFonts w:ascii="Arial" w:hAnsi="Arial" w:cs="Arial"/>
          <w:sz w:val="20"/>
          <w:szCs w:val="20"/>
        </w:rPr>
        <w:t>Version 3.1</w:t>
      </w:r>
    </w:p>
    <w:p w:rsidR="009231DF" w:rsidRDefault="009231DF"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4"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5" w:history="1">
        <w:r w:rsidRPr="00986205">
          <w:rPr>
            <w:rStyle w:val="Hyperlink"/>
            <w:rFonts w:eastAsia="Times New Roman"/>
            <w:sz w:val="20"/>
            <w:szCs w:val="20"/>
          </w:rPr>
          <w:t>www.cie.org.uk</w:t>
        </w:r>
      </w:hyperlink>
    </w:p>
    <w:sectPr w:rsidR="00647A8A" w:rsidRPr="00647A8A" w:rsidSect="00647A8A">
      <w:headerReference w:type="even" r:id="rId26"/>
      <w:headerReference w:type="default" r:id="rId27"/>
      <w:footerReference w:type="even" r:id="rId28"/>
      <w:footerReference w:type="default" r:id="rId29"/>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0578" w:rsidRDefault="00110578" w:rsidP="00BD38B4">
      <w:r>
        <w:separator/>
      </w:r>
    </w:p>
  </w:endnote>
  <w:endnote w:type="continuationSeparator" w:id="0">
    <w:p w:rsidR="00110578" w:rsidRDefault="00110578"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4B4F39" w:rsidRDefault="009231DF"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sidR="0028117F">
      <w:rPr>
        <w:rFonts w:ascii="Arial" w:hAnsi="Arial" w:cs="Arial"/>
        <w:sz w:val="20"/>
        <w:szCs w:val="20"/>
      </w:rPr>
      <w:tab/>
    </w:r>
    <w:r w:rsidR="0028117F">
      <w:rPr>
        <w:rFonts w:ascii="Arial" w:hAnsi="Arial" w:cs="Arial"/>
        <w:sz w:val="20"/>
        <w:szCs w:val="20"/>
      </w:rPr>
      <w:tab/>
    </w:r>
    <w:r w:rsidR="0028117F" w:rsidRPr="004B4F39">
      <w:rPr>
        <w:rStyle w:val="PageNumber"/>
        <w:rFonts w:ascii="Arial" w:hAnsi="Arial" w:cs="Arial"/>
        <w:sz w:val="20"/>
        <w:szCs w:val="20"/>
      </w:rPr>
      <w:fldChar w:fldCharType="begin"/>
    </w:r>
    <w:r w:rsidR="0028117F" w:rsidRPr="004B4F39">
      <w:rPr>
        <w:rStyle w:val="PageNumber"/>
        <w:rFonts w:ascii="Arial" w:hAnsi="Arial" w:cs="Arial"/>
        <w:sz w:val="20"/>
        <w:szCs w:val="20"/>
      </w:rPr>
      <w:instrText xml:space="preserve"> PAGE </w:instrText>
    </w:r>
    <w:r w:rsidR="0028117F" w:rsidRPr="004B4F39">
      <w:rPr>
        <w:rStyle w:val="PageNumber"/>
        <w:rFonts w:ascii="Arial" w:hAnsi="Arial" w:cs="Arial"/>
        <w:sz w:val="20"/>
        <w:szCs w:val="20"/>
      </w:rPr>
      <w:fldChar w:fldCharType="separate"/>
    </w:r>
    <w:r w:rsidR="00E2140F">
      <w:rPr>
        <w:rStyle w:val="PageNumber"/>
        <w:rFonts w:ascii="Arial" w:hAnsi="Arial" w:cs="Arial"/>
        <w:noProof/>
        <w:sz w:val="20"/>
        <w:szCs w:val="20"/>
      </w:rPr>
      <w:t>4</w:t>
    </w:r>
    <w:r w:rsidR="0028117F"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2F131A" w:rsidRDefault="0028117F"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6463FC" w:rsidRDefault="009231DF"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sidR="0028117F">
      <w:rPr>
        <w:rFonts w:ascii="Arial" w:hAnsi="Arial" w:cs="Arial"/>
        <w:sz w:val="20"/>
        <w:szCs w:val="20"/>
      </w:rPr>
      <w:tab/>
    </w:r>
    <w:r w:rsidR="0028117F">
      <w:rPr>
        <w:rFonts w:ascii="Arial" w:hAnsi="Arial" w:cs="Arial"/>
        <w:sz w:val="20"/>
        <w:szCs w:val="20"/>
      </w:rPr>
      <w:tab/>
    </w:r>
    <w:r w:rsidR="0028117F" w:rsidRPr="006463FC">
      <w:rPr>
        <w:rStyle w:val="PageNumber"/>
        <w:rFonts w:ascii="Arial" w:hAnsi="Arial" w:cs="Arial"/>
        <w:sz w:val="20"/>
        <w:szCs w:val="20"/>
      </w:rPr>
      <w:fldChar w:fldCharType="begin"/>
    </w:r>
    <w:r w:rsidR="0028117F" w:rsidRPr="006463FC">
      <w:rPr>
        <w:rStyle w:val="PageNumber"/>
        <w:rFonts w:ascii="Arial" w:hAnsi="Arial" w:cs="Arial"/>
        <w:sz w:val="20"/>
        <w:szCs w:val="20"/>
      </w:rPr>
      <w:instrText xml:space="preserve"> PAGE </w:instrText>
    </w:r>
    <w:r w:rsidR="0028117F" w:rsidRPr="006463FC">
      <w:rPr>
        <w:rStyle w:val="PageNumber"/>
        <w:rFonts w:ascii="Arial" w:hAnsi="Arial" w:cs="Arial"/>
        <w:sz w:val="20"/>
        <w:szCs w:val="20"/>
      </w:rPr>
      <w:fldChar w:fldCharType="separate"/>
    </w:r>
    <w:r w:rsidR="00E2140F">
      <w:rPr>
        <w:rStyle w:val="PageNumber"/>
        <w:rFonts w:ascii="Arial" w:hAnsi="Arial" w:cs="Arial"/>
        <w:noProof/>
        <w:sz w:val="20"/>
        <w:szCs w:val="20"/>
      </w:rPr>
      <w:t>3</w:t>
    </w:r>
    <w:r w:rsidR="0028117F"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rPr>
        <w:rFonts w:ascii="Arial" w:hAnsi="Arial" w:cs="Arial"/>
        <w:color w:val="C30045"/>
      </w:rPr>
    </w:pPr>
  </w:p>
  <w:p w:rsidR="0028117F" w:rsidRDefault="0028117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jc w:val="right"/>
      <w:rPr>
        <w:rFonts w:ascii="Arial" w:hAnsi="Arial" w:cs="Arial"/>
        <w:color w:val="C30045"/>
      </w:rPr>
    </w:pPr>
    <w:r w:rsidRPr="008E4090">
      <w:rPr>
        <w:rFonts w:ascii="Arial" w:hAnsi="Arial" w:cs="Arial"/>
        <w:color w:val="C30045"/>
      </w:rPr>
      <w:tab/>
    </w:r>
  </w:p>
  <w:p w:rsidR="0028117F" w:rsidRDefault="002811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0578" w:rsidRDefault="00110578" w:rsidP="00BD38B4">
      <w:r>
        <w:separator/>
      </w:r>
    </w:p>
  </w:footnote>
  <w:footnote w:type="continuationSeparator" w:id="0">
    <w:p w:rsidR="00110578" w:rsidRDefault="00110578"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2F131A">
    <w:pPr>
      <w:pStyle w:val="Header"/>
      <w:ind w:left="-567"/>
      <w:rPr>
        <w:rFonts w:ascii="Arial" w:hAnsi="Arial" w:cs="Arial"/>
        <w:color w:val="C30045"/>
        <w:sz w:val="22"/>
        <w:szCs w:val="22"/>
      </w:rPr>
    </w:pPr>
  </w:p>
  <w:p w:rsidR="0028117F" w:rsidRDefault="0028117F" w:rsidP="002F131A">
    <w:pPr>
      <w:pStyle w:val="Header"/>
      <w:ind w:left="-567"/>
      <w:rPr>
        <w:rFonts w:ascii="Arial" w:hAnsi="Arial" w:cs="Arial"/>
        <w:color w:val="C30045"/>
        <w:sz w:val="22"/>
        <w:szCs w:val="22"/>
      </w:rPr>
    </w:pPr>
  </w:p>
  <w:p w:rsidR="0028117F" w:rsidRPr="002F131A" w:rsidRDefault="0028117F"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sidR="009231DF">
      <w:rPr>
        <w:rFonts w:ascii="Arial" w:hAnsi="Arial" w:cs="Arial"/>
        <w:color w:val="C30045"/>
        <w:sz w:val="22"/>
        <w:szCs w:val="22"/>
      </w:rPr>
      <w:t>History (9389)</w:t>
    </w:r>
    <w:r w:rsidRPr="002F131A">
      <w:rPr>
        <w:rFonts w:ascii="Arial" w:hAnsi="Arial" w:cs="Arial"/>
        <w:color w:val="C30045"/>
        <w:sz w:val="22"/>
        <w:szCs w:val="22"/>
      </w:rPr>
      <w:t xml:space="preserve"> – from 20</w:t>
    </w:r>
    <w:r w:rsidR="009231DF">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28117F" w:rsidRDefault="002811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55EF4" w:rsidRDefault="0028117F"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D55EF4">
    <w:pPr>
      <w:pStyle w:val="Header"/>
      <w:ind w:left="0"/>
    </w:pPr>
  </w:p>
  <w:p w:rsidR="0028117F" w:rsidRPr="007E7998" w:rsidRDefault="0028117F" w:rsidP="002F131A">
    <w:pPr>
      <w:pStyle w:val="Header"/>
      <w:ind w:left="-567"/>
      <w:rPr>
        <w:color w:val="C30045"/>
      </w:rPr>
    </w:pPr>
  </w:p>
  <w:p w:rsidR="0028117F" w:rsidRPr="007E7998" w:rsidRDefault="0028117F"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sidR="009231DF">
      <w:rPr>
        <w:rFonts w:ascii="Arial" w:hAnsi="Arial" w:cs="Arial"/>
        <w:color w:val="C30045"/>
        <w:sz w:val="22"/>
        <w:szCs w:val="22"/>
      </w:rPr>
      <w:t>History (9389)</w:t>
    </w:r>
    <w:r w:rsidRPr="007E7998">
      <w:rPr>
        <w:rFonts w:ascii="Arial" w:hAnsi="Arial" w:cs="Arial"/>
        <w:color w:val="C30045"/>
        <w:sz w:val="22"/>
        <w:szCs w:val="22"/>
      </w:rPr>
      <w:t xml:space="preserve"> – from 20</w:t>
    </w:r>
    <w:r w:rsidR="009231DF">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A164D" w:rsidRDefault="0028117F"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AC74C7" w:rsidRDefault="0028117F"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1596450A"/>
    <w:multiLevelType w:val="hybridMultilevel"/>
    <w:tmpl w:val="952E7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B8A3F64"/>
    <w:multiLevelType w:val="hybridMultilevel"/>
    <w:tmpl w:val="3DF67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39B2664"/>
    <w:multiLevelType w:val="hybridMultilevel"/>
    <w:tmpl w:val="15CED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CCE1F5C"/>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6C3875C7"/>
    <w:multiLevelType w:val="hybridMultilevel"/>
    <w:tmpl w:val="3F5AEF5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3"/>
  </w:num>
  <w:num w:numId="14">
    <w:abstractNumId w:val="14"/>
  </w:num>
  <w:num w:numId="15">
    <w:abstractNumId w:val="15"/>
  </w:num>
  <w:num w:numId="16">
    <w:abstractNumId w:val="11"/>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10578"/>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231DF"/>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4DE"/>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2140F"/>
    <w:rsid w:val="00E470B2"/>
    <w:rsid w:val="00E80C24"/>
    <w:rsid w:val="00EC0FC1"/>
    <w:rsid w:val="00ED1265"/>
    <w:rsid w:val="00EF16C8"/>
    <w:rsid w:val="00F06D5E"/>
    <w:rsid w:val="00F13A9A"/>
    <w:rsid w:val="00F239C6"/>
    <w:rsid w:val="00F33238"/>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9231DF"/>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9231DF"/>
    <w:rPr>
      <w:rFonts w:ascii="Arial" w:eastAsiaTheme="majorEastAsia" w:hAnsi="Arial" w:cs="Arial"/>
      <w:b/>
      <w:bCs/>
      <w:color w:val="C30045"/>
      <w:lang w:eastAsia="en-US"/>
    </w:rPr>
  </w:style>
  <w:style w:type="paragraph" w:customStyle="1" w:styleId="Default">
    <w:name w:val="Default"/>
    <w:rsid w:val="009231DF"/>
    <w:pPr>
      <w:autoSpaceDE w:val="0"/>
      <w:autoSpaceDN w:val="0"/>
      <w:adjustRightInd w:val="0"/>
      <w:spacing w:after="120" w:line="264" w:lineRule="auto"/>
    </w:pPr>
    <w:rPr>
      <w:rFonts w:ascii="Arial" w:eastAsiaTheme="minorEastAsia"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9231DF"/>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9231DF"/>
    <w:rPr>
      <w:rFonts w:ascii="Arial" w:eastAsiaTheme="majorEastAsia" w:hAnsi="Arial" w:cs="Arial"/>
      <w:b/>
      <w:bCs/>
      <w:color w:val="C30045"/>
      <w:lang w:eastAsia="en-US"/>
    </w:rPr>
  </w:style>
  <w:style w:type="paragraph" w:customStyle="1" w:styleId="Default">
    <w:name w:val="Default"/>
    <w:rsid w:val="009231DF"/>
    <w:pPr>
      <w:autoSpaceDE w:val="0"/>
      <w:autoSpaceDN w:val="0"/>
      <w:adjustRightInd w:val="0"/>
      <w:spacing w:after="120" w:line="264" w:lineRule="auto"/>
    </w:pPr>
    <w:rPr>
      <w:rFonts w:ascii="Arial" w:eastAsiaTheme="minorEastAs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en.wikipedia.org/wiki/List_of_Holocaust_films"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yadvashem.org" TargetMode="External"/><Relationship Id="rId25" Type="http://schemas.openxmlformats.org/officeDocument/2006/relationships/hyperlink" Target="http://www.cie.org.uk" TargetMode="External"/><Relationship Id="rId2" Type="http://schemas.openxmlformats.org/officeDocument/2006/relationships/numbering" Target="numbering.xml"/><Relationship Id="rId16" Type="http://schemas.openxmlformats.org/officeDocument/2006/relationships/hyperlink" Target="http://www.ghi-dc.org/publications/ghipubs/bu/037/6hull.pdf" TargetMode="External"/><Relationship Id="rId20" Type="http://schemas.openxmlformats.org/officeDocument/2006/relationships/hyperlink" Target="http://www.ghi-dc.org/publications/ghipubs/bu/037/6hull.pdf"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mailto:info@cie.org.uk" TargetMode="Externa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image" Target="media/image2.emf"/><Relationship Id="rId28" Type="http://schemas.openxmlformats.org/officeDocument/2006/relationships/footer" Target="footer4.xml"/><Relationship Id="rId10" Type="http://schemas.openxmlformats.org/officeDocument/2006/relationships/header" Target="header1.xml"/><Relationship Id="rId19" Type="http://schemas.openxmlformats.org/officeDocument/2006/relationships/hyperlink" Target="http://www.ghi-dc.org"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footer" Target="footer3.xml"/><Relationship Id="rId27" Type="http://schemas.openxmlformats.org/officeDocument/2006/relationships/header" Target="header5.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B1054-4E7C-461B-AD0C-9339099AA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3188</Words>
  <Characters>18594</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21739</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5</cp:revision>
  <cp:lastPrinted>2016-02-19T09:56:00Z</cp:lastPrinted>
  <dcterms:created xsi:type="dcterms:W3CDTF">2016-02-19T09:56:00Z</dcterms:created>
  <dcterms:modified xsi:type="dcterms:W3CDTF">2016-03-07T10:17:00Z</dcterms:modified>
</cp:coreProperties>
</file>